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5D627"/>
          <w:sz w:val="76"/>
        </w:rPr>
        <w:t>INK</w:t>
      </w:r>
    </w:p>
    <w:p>
      <w:pPr>
        <w:pStyle w:val="Title"/>
        <w:jc w:val="center"/>
      </w:pPr>
      <w:r>
        <w:t>DOCUMENTO MAESTRO DE DISEÑO VISUAL</w:t>
      </w:r>
    </w:p>
    <w:p>
      <w:pPr>
        <w:jc w:val="center"/>
      </w:pPr>
      <w:r>
        <w:rPr>
          <w:color w:val="4B5563"/>
          <w:sz w:val="24"/>
        </w:rPr>
        <w:t>Sistema de sublimación · Guía para implementación de interfaz</w:t>
      </w:r>
    </w:p>
    <w:p>
      <w:r>
        <w:t>Versión 1.2 · Matriz de estados (F6 y F7) · 30/10/2026</w:t>
      </w:r>
    </w:p>
    <w:p>
      <w:pPr>
        <w:pStyle w:val="Heading1"/>
      </w:pPr>
      <w:r>
        <w:t>1. Objetivo y alcance</w:t>
      </w:r>
    </w:p>
    <w:p>
      <w:r>
        <w:t>Este documento consolida las decisiones visuales aprobadas para INK y sirve como referencia de implementación. Su objetivo es mantener coherencia entre la tienda pública y el panel administrativo, evitar decisiones visuales contradictorias y reducir retrabajo.</w:t>
      </w:r>
    </w:p>
    <w:p>
      <w:r>
        <w:t>La guía define identidad, paletas, tipografía, componentes, navegación, responsive y estados de interfaz. No reemplaza la especificación funcional ni autoriza a inventar reglas comerciales, métodos de pago, métodos de entrega, datos o funcionalidades.</w:t>
      </w:r>
    </w:p>
    <w:p>
      <w:pPr/>
      <w:r>
        <w:t>Cambios de la versión 1.1 respecto de la 1.0: se confirma el tema oscuro del panel administrativo y su paleta (F1); se elimina la compra como invitado para respetar RN-25 (F2); se corrige la tabla de colores, que tenía las columnas desplazadas; se documentan los problemas de contraste detectados (F11) y se agrega la sección «Decisiones y definiciones pendientes» con los puntos F3 a F16 de la auditoría. No se modificaron decisiones visuales aprobadas ni reglas funcionales.</w:t>
      </w:r>
    </w:p>
    <w:p>
      <w:pPr/>
      <w:r>
        <w:t>Cambios de la versión 1.2 respecto de la 1.1: se agrega la sección 12, «Matriz de estados», con la paleta semántica común de administración y tienda pública y su asignación a los estados reales de pedidos, pagos, cupones, reembolsos, diseños y cotizaciones (F6), y los estados y datos que ve el cliente con sus textos públicos (F7). Esa matriz reemplaza los cinco colores de estado genéricos de la sección 3. Las decisiones pendientes pasan a la sección 13 y el checklist a la 14. No se modifican reglas funcionales ni decisiones visuales previas.</w:t>
      </w:r>
    </w:p>
    <w:p>
      <w:pPr/>
      <w:r>
        <w:t>Archivos: este DOCX es la versión completa y la referencia de implementación. El PDF que lo acompaña (INK_Documento_Maestro_v1.2_resumen.pdf) es una versión resumida; ante cualquier diferencia, prevalece este DOCX y, para reglas de negocio, la especificación funcional (F16).</w:t>
      </w:r>
    </w:p>
    <w:p>
      <w:pPr>
        <w:pStyle w:val="Heading1"/>
      </w:pPr>
      <w:r>
        <w:t>2. Identidad de marca</w:t>
      </w:r>
    </w:p>
    <w:p>
      <w:r>
        <w:t>INK es una tienda de sublimación creativa. La identidad debe sentirse reconocible, actual, amigable y visualmente expresiva, sin perder legibilidad ni facilidad de uso.</w:t>
      </w:r>
    </w:p>
    <w:p>
      <w:r>
        <w:t>Logo principal de referencia: mancha irregular negra con letras INK amarillas. Variante invertida: mancha amarilla con letras negras. Las variantes monocromáticas se reservan para contextos donde la reproducción a color no sea posible o el contraste lo requiera.</w:t>
      </w:r>
    </w:p>
    <w:p>
      <w:r>
        <w:t>No deformar, estirar, inclinar de forma adicional, recolorear libremente ni separar el texto del símbolo. Mantener proporciones y espacio de seguridad alrededor del logo. Usar la variante que ofrezca mayor contraste con el fondo.</w:t>
      </w:r>
    </w:p>
    <w:p>
      <w:r>
        <w:t>Los archivos SVG del paquete son vectores editables con lettering tipográfico aproximado; antes de producción comercial definitiva conviene convertir el lettering a contornos y validar la marca final con el propietario.</w:t>
      </w:r>
    </w:p>
    <w:p>
      <w:pPr/>
      <w:r>
        <w:t>Estado del paquete v1.0 (public/brand/ink): la variante compacta es idéntica al logo principal; en todas las variantes el lettering es texto SVG, que sin la fuente instalada se muestra con otra tipografía; y el logo horizontal no usa itálica, a diferencia del principal, y deja espacio vacío en el lienzo. La versión horizontal monocromática tiene letras blancas: solo sirve sobre fondos oscuros. Ver 13.1 (F3, F4 y F12).</w:t>
      </w:r>
    </w:p>
    <w:p>
      <w:pPr>
        <w:pStyle w:val="Heading1"/>
      </w:pPr>
      <w:r>
        <w:t>3. Paleta de colores</w:t>
      </w:r>
    </w:p>
    <w:tbl>
      <w:tblPr>
        <w:tblStyle w:val="LightShading-Accent1"/>
        <w:tblW w:type="auto" w:w="0"/>
        <w:tblLook w:firstColumn="1" w:firstRow="1" w:lastColumn="0" w:lastRow="0" w:noHBand="0" w:noVBand="1" w:val="04A0"/>
      </w:tblPr>
      <w:tblGrid>
        <w:gridCol w:w="2300"/>
        <w:gridCol w:w="1100"/>
        <w:gridCol w:w="1300"/>
        <w:gridCol w:w="5380"/>
      </w:tblGrid>
      <w:tr>
        <w:tc>
          <w:tcPr>
            <w:tcW w:type="dxa" w:w="2300"/>
          </w:tcPr>
          <w:p>
            <w:r>
              <w:t>Uso</w:t>
            </w:r>
          </w:p>
        </w:tc>
        <w:tc>
          <w:tcPr>
            <w:tcW w:type="dxa" w:w="1100"/>
          </w:tcPr>
          <w:p>
            <w:r>
              <w:t>Color</w:t>
            </w:r>
          </w:p>
        </w:tc>
        <w:tc>
          <w:tcPr>
            <w:tcW w:type="dxa" w:w="1300"/>
          </w:tcPr>
          <w:p>
            <w:r>
              <w:t>Hex</w:t>
            </w:r>
          </w:p>
        </w:tc>
        <w:tc>
          <w:tcPr>
            <w:tcW w:type="dxa" w:w="5380"/>
          </w:tcPr>
          <w:p>
            <w:r>
              <w:t>Aplicación</w:t>
            </w:r>
          </w:p>
        </w:tc>
      </w:tr>
      <w:tr>
        <w:tc>
          <w:tcPr>
            <w:tcW w:type="dxa" w:w="2300"/>
          </w:tcPr>
          <w:p>
            <w:r>
              <w:t>Amarillo INK</w:t>
            </w:r>
          </w:p>
        </w:tc>
        <w:tc>
          <w:tcPr>
            <w:tcW w:type="dxa" w:w="1100"/>
            <w:shd w:val="clear" w:color="auto" w:fill="F5D627"/>
          </w:tcPr>
          <w:p>
            <w:r/>
          </w:p>
        </w:tc>
        <w:tc>
          <w:tcPr>
            <w:tcW w:type="dxa" w:w="1300"/>
          </w:tcPr>
          <w:p>
            <w:r>
              <w:t>#F5D627</w:t>
            </w:r>
          </w:p>
        </w:tc>
        <w:tc>
          <w:tcPr>
            <w:tcW w:type="dxa" w:w="5380"/>
          </w:tcPr>
          <w:p>
            <w:r>
              <w:t>Acentos, botones principales, indicadores activos y badges importantes.</w:t>
            </w:r>
          </w:p>
        </w:tc>
      </w:tr>
      <w:tr>
        <w:tc>
          <w:tcPr>
            <w:tcW w:type="dxa" w:w="2300"/>
          </w:tcPr>
          <w:p>
            <w:r>
              <w:t>Negro INK</w:t>
            </w:r>
          </w:p>
        </w:tc>
        <w:tc>
          <w:tcPr>
            <w:tcW w:type="dxa" w:w="1100"/>
            <w:shd w:val="clear" w:color="auto" w:fill="1C1B1B"/>
          </w:tcPr>
          <w:p>
            <w:r/>
          </w:p>
        </w:tc>
        <w:tc>
          <w:tcPr>
            <w:tcW w:type="dxa" w:w="1300"/>
          </w:tcPr>
          <w:p>
            <w:r>
              <w:t>#1C1B1B</w:t>
            </w:r>
          </w:p>
        </w:tc>
        <w:tc>
          <w:tcPr>
            <w:tcW w:type="dxa" w:w="5380"/>
          </w:tcPr>
          <w:p>
            <w:r>
              <w:t>Logo, navegación pública, barra lateral del panel, textos fuertes e iconos.</w:t>
            </w:r>
          </w:p>
        </w:tc>
      </w:tr>
      <w:tr>
        <w:tc>
          <w:tcPr>
            <w:tcW w:type="dxa" w:w="2300"/>
          </w:tcPr>
          <w:p>
            <w:r>
              <w:t>Azul grisáceo público</w:t>
            </w:r>
          </w:p>
        </w:tc>
        <w:tc>
          <w:tcPr>
            <w:tcW w:type="dxa" w:w="1100"/>
            <w:shd w:val="clear" w:color="auto" w:fill="E3E8EF"/>
          </w:tcPr>
          <w:p>
            <w:r/>
          </w:p>
        </w:tc>
        <w:tc>
          <w:tcPr>
            <w:tcW w:type="dxa" w:w="1300"/>
          </w:tcPr>
          <w:p>
            <w:r>
              <w:t>#E3E8EF</w:t>
            </w:r>
          </w:p>
        </w:tc>
        <w:tc>
          <w:tcPr>
            <w:tcW w:type="dxa" w:w="5380"/>
          </w:tcPr>
          <w:p>
            <w:r>
              <w:t>Fondo principal de todas las pantallas de la tienda pública.</w:t>
            </w:r>
          </w:p>
        </w:tc>
      </w:tr>
      <w:tr>
        <w:tc>
          <w:tcPr>
            <w:tcW w:type="dxa" w:w="2300"/>
          </w:tcPr>
          <w:p>
            <w:r>
              <w:t>Blanco</w:t>
            </w:r>
          </w:p>
        </w:tc>
        <w:tc>
          <w:tcPr>
            <w:tcW w:type="dxa" w:w="1100"/>
            <w:shd w:val="clear" w:color="auto" w:fill="FFFFFF"/>
          </w:tcPr>
          <w:p>
            <w:r/>
          </w:p>
        </w:tc>
        <w:tc>
          <w:tcPr>
            <w:tcW w:type="dxa" w:w="1300"/>
          </w:tcPr>
          <w:p>
            <w:r>
              <w:t>#FFFFFF</w:t>
            </w:r>
          </w:p>
        </w:tc>
        <w:tc>
          <w:tcPr>
            <w:tcW w:type="dxa" w:w="5380"/>
          </w:tcPr>
          <w:p>
            <w:r>
              <w:t>Tarjetas, superficies elevadas, campos y paneles de contenido.</w:t>
            </w:r>
          </w:p>
        </w:tc>
      </w:tr>
      <w:tr>
        <w:tc>
          <w:tcPr>
            <w:tcW w:type="dxa" w:w="2300"/>
          </w:tcPr>
          <w:p>
            <w:r>
              <w:t>Grafito administrativo</w:t>
            </w:r>
          </w:p>
        </w:tc>
        <w:tc>
          <w:tcPr>
            <w:tcW w:type="dxa" w:w="1100"/>
            <w:shd w:val="clear" w:color="auto" w:fill="343331"/>
          </w:tcPr>
          <w:p>
            <w:r/>
          </w:p>
        </w:tc>
        <w:tc>
          <w:tcPr>
            <w:tcW w:type="dxa" w:w="1300"/>
          </w:tcPr>
          <w:p>
            <w:r>
              <w:t>#343331</w:t>
            </w:r>
          </w:p>
        </w:tc>
        <w:tc>
          <w:tcPr>
            <w:tcW w:type="dxa" w:w="5380"/>
          </w:tcPr>
          <w:p>
            <w:r>
              <w:t>Fondo principal del panel administrativo.</w:t>
            </w:r>
          </w:p>
        </w:tc>
      </w:tr>
      <w:tr>
        <w:tc>
          <w:tcPr>
            <w:tcW w:type="dxa" w:w="2300"/>
          </w:tcPr>
          <w:p>
            <w:r>
              <w:t>Superficie admin</w:t>
            </w:r>
          </w:p>
        </w:tc>
        <w:tc>
          <w:tcPr>
            <w:tcW w:type="dxa" w:w="1100"/>
            <w:shd w:val="clear" w:color="auto" w:fill="42413E"/>
          </w:tcPr>
          <w:p>
            <w:r/>
          </w:p>
        </w:tc>
        <w:tc>
          <w:tcPr>
            <w:tcW w:type="dxa" w:w="1300"/>
          </w:tcPr>
          <w:p>
            <w:r>
              <w:t>#42413E</w:t>
            </w:r>
          </w:p>
        </w:tc>
        <w:tc>
          <w:tcPr>
            <w:tcW w:type="dxa" w:w="5380"/>
          </w:tcPr>
          <w:p>
            <w:r>
              <w:t>Tarjetas, filas y superficies elevadas del panel.</w:t>
            </w:r>
          </w:p>
        </w:tc>
      </w:tr>
      <w:tr>
        <w:tc>
          <w:tcPr>
            <w:tcW w:type="dxa" w:w="2300"/>
          </w:tcPr>
          <w:p>
            <w:r>
              <w:t>Separador admin</w:t>
            </w:r>
          </w:p>
        </w:tc>
        <w:tc>
          <w:tcPr>
            <w:tcW w:type="dxa" w:w="1100"/>
            <w:shd w:val="clear" w:color="auto" w:fill="5B5954"/>
          </w:tcPr>
          <w:p>
            <w:r/>
          </w:p>
        </w:tc>
        <w:tc>
          <w:tcPr>
            <w:tcW w:type="dxa" w:w="1300"/>
          </w:tcPr>
          <w:p>
            <w:r>
              <w:t>#5B5954</w:t>
            </w:r>
          </w:p>
        </w:tc>
        <w:tc>
          <w:tcPr>
            <w:tcW w:type="dxa" w:w="5380"/>
          </w:tcPr>
          <w:p>
            <w:r>
              <w:t>Bordes y divisores sutiles en el panel.</w:t>
            </w:r>
          </w:p>
        </w:tc>
      </w:tr>
      <w:tr>
        <w:tc>
          <w:tcPr>
            <w:tcW w:type="dxa" w:w="2300"/>
          </w:tcPr>
          <w:p>
            <w:r>
              <w:t>Texto secundario</w:t>
            </w:r>
          </w:p>
        </w:tc>
        <w:tc>
          <w:tcPr>
            <w:tcW w:type="dxa" w:w="1100"/>
            <w:shd w:val="clear" w:color="auto" w:fill="9CA3AF"/>
          </w:tcPr>
          <w:p>
            <w:r/>
          </w:p>
        </w:tc>
        <w:tc>
          <w:tcPr>
            <w:tcW w:type="dxa" w:w="1300"/>
          </w:tcPr>
          <w:p>
            <w:r>
              <w:t>#9CA3AF</w:t>
            </w:r>
          </w:p>
        </w:tc>
        <w:tc>
          <w:tcPr>
            <w:tcW w:type="dxa" w:w="5380"/>
          </w:tcPr>
          <w:p>
            <w:r>
              <w:t>Texto auxiliar sobre superficies oscuras. Contraste: 4,97:1 sobre #343331 (cumple) y 4,02:1 sobre #42413E (no cumple 4,5:1). Valor definitivo pendiente (F11).</w:t>
            </w:r>
          </w:p>
        </w:tc>
      </w:tr>
      <w:tr>
        <w:tc>
          <w:tcPr>
            <w:tcW w:type="dxa" w:w="2300"/>
          </w:tcPr>
          <w:p>
            <w:r>
              <w:t>Barra lateral admin</w:t>
            </w:r>
          </w:p>
        </w:tc>
        <w:tc>
          <w:tcPr>
            <w:tcW w:type="dxa" w:w="1100"/>
            <w:shd w:val="clear" w:color="auto" w:fill="1C1B1B"/>
          </w:tcPr>
          <w:p>
            <w:r/>
          </w:p>
        </w:tc>
        <w:tc>
          <w:tcPr>
            <w:tcW w:type="dxa" w:w="1300"/>
          </w:tcPr>
          <w:p>
            <w:r>
              <w:t>#1C1B1B</w:t>
            </w:r>
          </w:p>
        </w:tc>
        <w:tc>
          <w:tcPr>
            <w:tcW w:type="dxa" w:w="5380"/>
          </w:tcPr>
          <w:p>
            <w:r>
              <w:t>Fondo de la barra lateral del panel administrativo (F1).</w:t>
            </w:r>
          </w:p>
        </w:tc>
      </w:tr>
      <w:tr>
        <w:tc>
          <w:tcPr>
            <w:tcW w:type="dxa" w:w="2300"/>
          </w:tcPr>
          <w:p>
            <w:r>
              <w:t>Texto principal admin</w:t>
            </w:r>
          </w:p>
        </w:tc>
        <w:tc>
          <w:tcPr>
            <w:tcW w:type="dxa" w:w="1100"/>
          </w:tcPr>
          <w:p>
            <w:r/>
          </w:p>
        </w:tc>
        <w:tc>
          <w:tcPr>
            <w:tcW w:type="dxa" w:w="1300"/>
          </w:tcPr>
          <w:p>
            <w:r>
              <w:t>Pendiente</w:t>
            </w:r>
          </w:p>
        </w:tc>
        <w:tc>
          <w:tcPr>
            <w:tcW w:type="dxa" w:w="5380"/>
          </w:tcPr>
          <w:p>
            <w:r>
              <w:t>Tono claro con contraste suficiente sobre #343331 y #42413E; el valor exacto se define con los tokens (F11, F13).</w:t>
            </w:r>
          </w:p>
        </w:tc>
      </w:tr>
    </w:tbl>
    <w:p>
      <w:r>
        <w:t>Colores de estado: desde la versión 1.2 se definen en la sección 12, «Matriz de estados», con una paleta común para administración y tienda pública. Reemplaza a los cinco colores genéricos de las versiones 1.0 y 1.1 (Pendiente #F5DDA0/#59420B, En proceso #F5D627/#1C1B1B, Completado #43845A/blanco, Cancelado #A8322A/blanco, Inactivo #E9E9E6/#55554F), que ya no se usan para estados.</w:t>
      </w:r>
    </w:p>
    <w:p>
      <w:r>
        <w:t>No usar el amarillo como fondo de grandes bloques de texto. Reservarlo para acciones primarias, estados activos y detalles de identidad. Tampoco usarlo como color de texto sobre fondos claros: da 1,45:1 sobre #FFFFFF y 1,17:1 sobre #E3E8EF. Sobre fondos oscuros sí funciona (8,73:1 sobre #343331).</w:t>
      </w:r>
    </w:p>
    <w:p>
      <w:pPr>
        <w:pStyle w:val="Heading1"/>
      </w:pPr>
      <w:r>
        <w:t>4. Tipografía y jerarquía</w:t>
      </w:r>
    </w:p>
    <w:p>
      <w:r>
        <w:t>Dirección tipográfica aprobada: sans serif redondeada, moderna y legible, con Nunito Sans como referencia visual. Antes de añadir una dependencia, revisar si el proyecto ya dispone de una familia equivalente.</w:t>
      </w:r>
    </w:p>
    <w:p>
      <w:pPr>
        <w:pStyle w:val="ListBullet"/>
      </w:pPr>
      <w:r>
        <w:t>Títulos de página: peso 700–800, jerarquía clara y frases breves.</w:t>
      </w:r>
    </w:p>
    <w:p>
      <w:pPr>
        <w:pStyle w:val="ListBullet"/>
      </w:pPr>
      <w:r>
        <w:t>Títulos de sección: peso 600–700.</w:t>
      </w:r>
    </w:p>
    <w:p>
      <w:pPr>
        <w:pStyle w:val="ListBullet"/>
      </w:pPr>
      <w:r>
        <w:t>Texto principal: peso 400–500, cómodo de leer.</w:t>
      </w:r>
    </w:p>
    <w:p>
      <w:pPr>
        <w:pStyle w:val="ListBullet"/>
      </w:pPr>
      <w:r>
        <w:t>Texto auxiliar: menor tamaño, sin bajar de un nivel legible.</w:t>
      </w:r>
    </w:p>
    <w:p>
      <w:pPr>
        <w:pStyle w:val="ListBullet"/>
      </w:pPr>
      <w:r>
        <w:t>Evitar abusar de mayúsculas, cursivas, tracking amplio y múltiples familias tipográficas.</w:t>
      </w:r>
    </w:p>
    <w:p>
      <w:pPr>
        <w:pStyle w:val="Heading1"/>
      </w:pPr>
      <w:r>
        <w:t>5. Tienda pública</w:t>
      </w:r>
    </w:p>
    <w:p>
      <w:r>
        <w:t>La tienda pública utiliza fondo azul grisáceo #E3E8EF, tarjetas y superficies blancas, negro #1C1B1B para navegación y textos principales, y amarillo #F5D627 para acciones y acentos. El estilo es creativo, limpio, cálido en el trato y centrado en la fotografía de producto.</w:t>
      </w:r>
    </w:p>
    <w:p>
      <w:pPr>
        <w:pStyle w:val="Heading2"/>
      </w:pPr>
      <w:r>
        <w:t>5.1 Navegación pública</w:t>
      </w:r>
    </w:p>
    <w:p>
      <w:r>
        <w:t>Escritorio: barra horizontal negra; logo a la izquierda; enlaces principales en la zona central; buscador integrado; accesos a cuenta y carrito a la derecha. El carrito puede mostrar un contador amarillo cuando existan artículos.</w:t>
      </w:r>
    </w:p>
    <w:p>
      <w:r>
        <w:t>Móvil: barra negra compacta con botón de menú, logo, búsqueda, cuenta y carrito. El menú lateral es oscuro, con iconos lineales, etiquetas claras y acento amarillo en la opción activa. Mantener áreas táctiles cómodas.</w:t>
      </w:r>
    </w:p>
    <w:p>
      <w:pPr>
        <w:pStyle w:val="Heading2"/>
      </w:pPr>
      <w:r>
        <w:t>5.2 Página principal</w:t>
      </w:r>
    </w:p>
    <w:p>
      <w:pPr>
        <w:pStyle w:val="ListBullet"/>
      </w:pPr>
      <w:r>
        <w:t>Hero visual amplio con fotografía destacada, mensaje corto y CTA principal amarillo.</w:t>
      </w:r>
    </w:p>
    <w:p>
      <w:pPr>
        <w:pStyle w:val="ListBullet"/>
      </w:pPr>
      <w:r>
        <w:t>Accesos visuales a categorías en tarjetas o módulos claros.</w:t>
      </w:r>
    </w:p>
    <w:p>
      <w:pPr>
        <w:pStyle w:val="ListBullet"/>
      </w:pPr>
      <w:r>
        <w:t>Sección de productos destacados con imágenes dominantes, nombre y precio real.</w:t>
      </w:r>
    </w:p>
    <w:p>
      <w:pPr>
        <w:pStyle w:val="ListBullet"/>
      </w:pPr>
      <w:r>
        <w:t>Franja de beneficios solo con afirmaciones que el negocio pueda respaldar.</w:t>
      </w:r>
    </w:p>
    <w:p>
      <w:pPr>
        <w:pStyle w:val="ListBullet"/>
      </w:pPr>
      <w:r>
        <w:t>Footer minimalista con marca y enlaces reales.</w:t>
      </w:r>
    </w:p>
    <w:p>
      <w:r>
        <w:t>La composición de referencia aprobada es la página principal con hero, categorías, productos destacados, beneficios y footer sobre #E3E8EF.</w:t>
      </w:r>
    </w:p>
    <w:p>
      <w:pPr/>
      <w:r>
        <w:t>Recursos pendientes para esta página: fotografía del hero, imágenes de categorías (hoy las categorías no tienen imagen), criterio de productos destacados (no existe en los datos) y textos de beneficios aprobados. No se completan con contenido inventado (ver 13.2, F5).</w:t>
      </w:r>
    </w:p>
    <w:p>
      <w:pPr>
        <w:pStyle w:val="Heading2"/>
      </w:pPr>
      <w:r>
        <w:t>5.3 Catálogo</w:t>
      </w:r>
    </w:p>
    <w:p>
      <w:pPr>
        <w:pStyle w:val="ListBullet"/>
      </w:pPr>
      <w:r>
        <w:t>Panel lateral de categorías y filtros en escritorio; en móvil convertirlo en panel o drawer desplegable.</w:t>
      </w:r>
    </w:p>
    <w:p>
      <w:pPr>
        <w:pStyle w:val="ListBullet"/>
      </w:pPr>
      <w:r>
        <w:t>Zona principal con título, descripción y ordenamiento. El catálogo no tiene ordenamiento hoy (ver 13.2, F9).</w:t>
      </w:r>
    </w:p>
    <w:p>
      <w:pPr>
        <w:pStyle w:val="ListBullet"/>
      </w:pPr>
      <w:r>
        <w:t>Cuadrícula de productos con tarjetas blancas y fotografía destacada.</w:t>
      </w:r>
    </w:p>
    <w:p>
      <w:pPr>
        <w:pStyle w:val="ListBullet"/>
      </w:pPr>
      <w:r>
        <w:t>Mostrar nombre, precio y acciones disponibles según funcionalidad real.</w:t>
      </w:r>
    </w:p>
    <w:p>
      <w:pPr>
        <w:pStyle w:val="ListBullet"/>
      </w:pPr>
      <w:r>
        <w:t>Mantener paginación o mecanismo de carga que ya implemente el sistema.</w:t>
      </w:r>
    </w:p>
    <w:p>
      <w:r>
        <w:t>La referencia aprobada contempla cuatro columnas en escritorio. El número de columnas debe adaptarse al ancho disponible y no forzar tarjetas demasiado estrechas.</w:t>
      </w:r>
    </w:p>
    <w:p>
      <w:pPr/>
      <w:r>
        <w:t>Precio real: los productos personalizables no tienen precio de catálogo y se muestran con «Consultá el precio» (RN-31) hasta su cotización.</w:t>
      </w:r>
    </w:p>
    <w:p>
      <w:pPr>
        <w:pStyle w:val="Heading2"/>
      </w:pPr>
      <w:r>
        <w:t>5.4 Detalle de producto</w:t>
      </w:r>
    </w:p>
    <w:p>
      <w:r>
        <w:t>Galería con imagen principal y miniaturas debajo. Bloque de compra claro con nombre, precio, variantes, stock y cantidad cuando esos datos existan. Los campos de personalización aparecen únicamente en productos que los requieran. La descripción se ubica debajo del bloque de compra.</w:t>
      </w:r>
    </w:p>
    <w:p>
      <w:pPr>
        <w:pStyle w:val="Heading2"/>
      </w:pPr>
      <w:r>
        <w:t>5.5 Carrito y checkout</w:t>
      </w:r>
    </w:p>
    <w:p>
      <w:r>
        <w:t>Carrito: escritorio con productos a la izquierda y resumen a la derecha; móvil con contenido apilado y resumen debajo. El cupón se presenta en un bloque plegable. Al quitar un producto, ofrecer notificación con opción Deshacer si el sistema lo soporta. Hoy el sistema no soporta Deshacer al quitar un producto, y el cupón se ingresa y se valida en el checkout, no en el carrito (ver 13.2, F9).</w:t>
      </w:r>
    </w:p>
    <w:p>
      <w:r>
        <w:t>Checkout: una página organizada por secciones y progreso visual; requiere una cuenta de cliente (RN-25): quien no inició sesión ingresa o se registra dentro del mismo checkout, en un solo paso y sin perder el carrito; no existe la compra como invitado; revisión final en la misma pantalla. Escritorio: datos, entrega y pago a la izquierda, resumen a la derecha; móvil: secciones apiladas. Mostrar exclusivamente métodos de entrega y pago configurados en el sistema.</w:t>
      </w:r>
    </w:p>
    <w:p>
      <w:r>
        <w:t>Respetar reglas comerciales existentes: retención de stock online 30 minutos; reserva en efectivo 24 horas hábiles; pedidos personalizados con cotización manual y seña del 20%; pedidos de importe cero con auto-confirmación según RN-32. No asumir que todos los pedidos comparten el mismo flujo.</w:t>
      </w:r>
    </w:p>
    <w:p>
      <w:pPr>
        <w:pStyle w:val="Heading2"/>
      </w:pPr>
      <w:r>
        <w:t>5.6 Cuenta, pedidos y detalle</w:t>
      </w:r>
    </w:p>
    <w:p>
      <w:r>
        <w:t>Acceso: tarjeta centrada con ancho máximo aproximado de 420 px en escritorio y ancho disponible con márgenes cómodos en móvil. Desde el checkout, el acceso ofrece ingresar o registrarse; no hay compra como invitado (RN-25).</w:t>
      </w:r>
    </w:p>
    <w:p>
      <w:r>
        <w:t>Mi cuenta: edición de datos en línea, con guardar, cancelar y validación contextual. Mis pedidos: búsqueda por número, filtros alineados con estados reales y listado adaptable a filas en escritorio y tarjetas en móvil. La búsqueda por número y los filtros de Mis pedidos no existen hoy (ver 13.2, F9).</w:t>
      </w:r>
    </w:p>
    <w:p>
      <w:r>
        <w:t>Detalle de pedido: estado actual en una tarjeta simple, fecha real de última actualización y explicación. No usar línea de progreso. Mostrar comprobante solo si existe; mostrar importes pagados y saldo cuando correspondan; ocultar saldo cero si está totalmente pagado. Entrega y pago solo si están registrados. Los comprobantes todavía no están implementados (INC-12). El diseño detallado de esta pantalla está pendiente (ver 13.4, F8).</w:t>
      </w:r>
    </w:p>
    <w:p>
      <w:pPr>
        <w:pStyle w:val="Heading1"/>
      </w:pPr>
      <w:r>
        <w:t>6. Panel administrativo</w:t>
      </w:r>
    </w:p>
    <w:p>
      <w:r>
        <w:t>El panel administrativo utiliza una identidad separada, oscura, moderna y minimalista. Tema confirmado en la versión 1.1: fondo principal grafito #343331; superficies y tarjetas #42413E; separadores #5B5954; barra lateral #1C1B1B; logo y acentos amarillos #F5D627; texto principal en tonos claros y texto secundario en gris claro, ambos con contraste suficiente sobre fondo y superficies (ver F11).</w:t>
      </w:r>
    </w:p>
    <w:p>
      <w:pPr/>
      <w:r>
        <w:t>Adaptación pendiente: la barra lateral y la pantalla Fechas excluidas se implementaron con un tema claro (crema y blanco) antes de esta decisión. El tema oscuro prevalece: ambas deben adaptarse a esta paleta sin cambiar su lógica, sus flujos ni la accesibilidad ya implementada (foco, teclado, modales, avisos).</w:t>
      </w:r>
    </w:p>
    <w:p>
      <w:r>
        <w:t>Sidebar negra. Expandida: logo completo. Colapsada: marca compacta. En escritorio y TV mantener navegación clara y densidad equilibrada. En pantallas pequeñas, adaptar el menú sin perder acceso a las secciones. La marca compacta definitiva está pendiente (F3).</w:t>
      </w:r>
    </w:p>
    <w:p>
      <w:r>
        <w:t>Formularios largos: secciones verticales con títulos y divisores sutiles, no una tarjeta por cada sección. Campos con borde discreto; foco con borde amarillo y fondo ligeramente diferenciado; error con borde rojo y mensaje cercano al campo.</w:t>
      </w:r>
    </w:p>
    <w:p>
      <w:r>
        <w:t>Tablas: densidad equilibrada, filas oscuras diferenciadas sutilmente, acciones contextuales y foco/hover visibles. Modales minimalistas, enfocados, accesibles y adaptables. Toasts flotantes, breves y no bloqueantes.</w:t>
      </w:r>
    </w:p>
    <w:p>
      <w:r>
        <w:t>Iconografía: línea para navegación; relleno solo para estados o acciones que necesiten mayor énfasis. Reutilizar la librería existente; no incorporar otra dependencia sin necesidad. Hoy el proyecto no usa ninguna librería de iconos (ver 13.3, F10).</w:t>
      </w:r>
    </w:p>
    <w:p>
      <w:pPr>
        <w:pStyle w:val="Heading1"/>
      </w:pPr>
      <w:r>
        <w:t>7. Componentes y comportamiento</w:t>
      </w:r>
    </w:p>
    <w:tbl>
      <w:tblPr>
        <w:tblStyle w:val="LightShading-Accent1"/>
        <w:tblW w:type="auto" w:w="0"/>
        <w:tblLook w:firstColumn="1" w:firstRow="1" w:lastColumn="0" w:lastRow="0" w:noHBand="0" w:noVBand="1" w:val="04A0"/>
      </w:tblPr>
      <w:tblGrid>
        <w:gridCol w:w="5040"/>
        <w:gridCol w:w="5040"/>
      </w:tblGrid>
      <w:tr>
        <w:tc>
          <w:tcPr>
            <w:tcW w:type="dxa" w:w="5040"/>
          </w:tcPr>
          <w:p>
            <w:r>
              <w:t>Componente</w:t>
            </w:r>
          </w:p>
        </w:tc>
        <w:tc>
          <w:tcPr>
            <w:tcW w:type="dxa" w:w="5040"/>
          </w:tcPr>
          <w:p>
            <w:r>
              <w:t>Regla visual</w:t>
            </w:r>
          </w:p>
        </w:tc>
      </w:tr>
      <w:tr>
        <w:tc>
          <w:tcPr>
            <w:tcW w:type="dxa" w:w="5040"/>
          </w:tcPr>
          <w:p>
            <w:r>
              <w:t>Botón primario</w:t>
            </w:r>
          </w:p>
        </w:tc>
        <w:tc>
          <w:tcPr>
            <w:tcW w:type="dxa" w:w="5040"/>
          </w:tcPr>
          <w:p>
            <w:r>
              <w:t>Amarillo INK, texto negro, forma redondeada, icono opcional. Estados hover/pressed/focus/disabled/loading claramente definidos.</w:t>
            </w:r>
          </w:p>
        </w:tc>
      </w:tr>
      <w:tr>
        <w:tc>
          <w:tcPr>
            <w:tcW w:type="dxa" w:w="5040"/>
          </w:tcPr>
          <w:p>
            <w:r>
              <w:t>Botón secundario</w:t>
            </w:r>
          </w:p>
        </w:tc>
        <w:tc>
          <w:tcPr>
            <w:tcW w:type="dxa" w:w="5040"/>
          </w:tcPr>
          <w:p>
            <w:r>
              <w:t>Fondo transparente o superficie neutra, borde sutil, texto de alto contraste.</w:t>
            </w:r>
          </w:p>
        </w:tc>
      </w:tr>
      <w:tr>
        <w:tc>
          <w:tcPr>
            <w:tcW w:type="dxa" w:w="5040"/>
          </w:tcPr>
          <w:p>
            <w:r>
              <w:t>Campos</w:t>
            </w:r>
          </w:p>
        </w:tc>
        <w:tc>
          <w:tcPr>
            <w:tcW w:type="dxa" w:w="5040"/>
          </w:tcPr>
          <w:p>
            <w:r>
              <w:t>Etiqueta sobre el control, ayuda debajo si aplica, foco visible, error contextual y tamaño táctil suficiente.</w:t>
            </w:r>
          </w:p>
        </w:tc>
      </w:tr>
      <w:tr>
        <w:tc>
          <w:tcPr>
            <w:tcW w:type="dxa" w:w="5040"/>
          </w:tcPr>
          <w:p>
            <w:r>
              <w:t>Tarjetas</w:t>
            </w:r>
          </w:p>
        </w:tc>
        <w:tc>
          <w:tcPr>
            <w:tcW w:type="dxa" w:w="5040"/>
          </w:tcPr>
          <w:p>
            <w:r>
              <w:t>Radio consistente, superficie blanca en tienda; superficie grafito elevada en admin; sombras suaves y discretas.</w:t>
            </w:r>
          </w:p>
        </w:tc>
      </w:tr>
      <w:tr>
        <w:tc>
          <w:tcPr>
            <w:tcW w:type="dxa" w:w="5040"/>
          </w:tcPr>
          <w:p>
            <w:r>
              <w:t>Badges</w:t>
            </w:r>
          </w:p>
        </w:tc>
        <w:tc>
          <w:tcPr>
            <w:tcW w:type="dxa" w:w="5040"/>
          </w:tcPr>
          <w:p>
            <w:r>
              <w:t>Usar solo para estados o atributos útiles. Evitar etiquetas decorativas que compitan con la fotografía.</w:t>
            </w:r>
          </w:p>
        </w:tc>
      </w:tr>
      <w:tr>
        <w:tc>
          <w:tcPr>
            <w:tcW w:type="dxa" w:w="5040"/>
          </w:tcPr>
          <w:p>
            <w:r>
              <w:t>Iconos</w:t>
            </w:r>
          </w:p>
        </w:tc>
        <w:tc>
          <w:tcPr>
            <w:tcW w:type="dxa" w:w="5040"/>
          </w:tcPr>
          <w:p>
            <w:r>
              <w:t>Trazo consistente, tamaños alineados y etiquetas accesibles cuando el significado no sea obvio.</w:t>
            </w:r>
          </w:p>
        </w:tc>
      </w:tr>
      <w:tr>
        <w:tc>
          <w:tcPr>
            <w:tcW w:type="dxa" w:w="5040"/>
          </w:tcPr>
          <w:p>
            <w:r>
              <w:t>Notificaciones</w:t>
            </w:r>
          </w:p>
        </w:tc>
        <w:tc>
          <w:tcPr>
            <w:tcW w:type="dxa" w:w="5040"/>
          </w:tcPr>
          <w:p>
            <w:r>
              <w:t>Toast no bloqueante; texto corto; acción secundaria solo cuando aporte valor.</w:t>
            </w:r>
          </w:p>
        </w:tc>
      </w:tr>
      <w:tr>
        <w:tc>
          <w:tcPr>
            <w:tcW w:type="dxa" w:w="5040"/>
          </w:tcPr>
          <w:p>
            <w:r>
              <w:t>Estados vacíos</w:t>
            </w:r>
          </w:p>
        </w:tc>
        <w:tc>
          <w:tcPr>
            <w:tcW w:type="dxa" w:w="5040"/>
          </w:tcPr>
          <w:p>
            <w:r>
              <w:t>Explicar qué sucede y ofrecer una acción útil cuando exista una acción real.</w:t>
            </w:r>
          </w:p>
        </w:tc>
      </w:tr>
      <w:tr>
        <w:tc>
          <w:tcPr>
            <w:tcW w:type="dxa" w:w="5040"/>
          </w:tcPr>
          <w:p>
            <w:r>
              <w:t>Cargas</w:t>
            </w:r>
          </w:p>
        </w:tc>
        <w:tc>
          <w:tcPr>
            <w:tcW w:type="dxa" w:w="5040"/>
          </w:tcPr>
          <w:p>
            <w:r>
              <w:t>Usar skeletons o indicadores discretos coherentes con el espacio; evitar saltos bruscos de layout.</w:t>
            </w:r>
          </w:p>
        </w:tc>
      </w:tr>
    </w:tbl>
    <w:p>
      <w:pPr>
        <w:pStyle w:val="Heading1"/>
      </w:pPr>
      <w:r>
        <w:t>8. Responsive y accesibilidad</w:t>
      </w:r>
    </w:p>
    <w:p>
      <w:pPr>
        <w:pStyle w:val="ListBullet"/>
      </w:pPr>
      <w:r>
        <w:t>Diseñar desde móvil hasta escritorio y TV, conservando jerarquía y legibilidad.</w:t>
      </w:r>
    </w:p>
    <w:p>
      <w:pPr>
        <w:pStyle w:val="ListBullet"/>
      </w:pPr>
      <w:r>
        <w:t>No depender solo del color para comunicar estados; acompañar con texto o icono.</w:t>
      </w:r>
    </w:p>
    <w:p>
      <w:pPr>
        <w:pStyle w:val="ListBullet"/>
      </w:pPr>
      <w:r>
        <w:t>Mantener contraste suficiente, foco visible y navegación por teclado.</w:t>
      </w:r>
    </w:p>
    <w:p>
      <w:pPr>
        <w:pStyle w:val="ListBullet"/>
      </w:pPr>
      <w:r>
        <w:t>Respetar prefers-reduced-motion; animaciones cortas y no esenciales.</w:t>
      </w:r>
    </w:p>
    <w:p>
      <w:pPr>
        <w:pStyle w:val="ListBullet"/>
      </w:pPr>
      <w:r>
        <w:t>Evitar scroll horizontal no intencional; tablas complejas pueden transformarse en tarjetas en móvil.</w:t>
      </w:r>
    </w:p>
    <w:p>
      <w:pPr>
        <w:pStyle w:val="ListBullet"/>
      </w:pPr>
      <w:r>
        <w:t>En pantallas grandes aprovechar el espacio sin estirar excesivamente el contenido.</w:t>
      </w:r>
    </w:p>
    <w:p>
      <w:pPr>
        <w:pStyle w:val="ListBullet"/>
      </w:pPr>
      <w:r>
        <w:t>Los valores concretos (puntos de corte, escala tipográfica, espaciado, radios y sombras) y los criterios para TV están pendientes (ver 13.5, F13 y F14).</w:t>
      </w:r>
    </w:p>
    <w:p>
      <w:pPr>
        <w:pStyle w:val="Heading1"/>
      </w:pPr>
      <w:r>
        <w:t>9. Movimiento, hover y microinteracciones</w:t>
      </w:r>
    </w:p>
    <w:p>
      <w:r>
        <w:t>Usar transiciones breves y sutiles para hover, elevación de tarjetas, apertura de menús y feedback de botones. Evitar animaciones constantes, rebotes excesivos o efectos que ralenticen la compra. Las interacciones deben comunicar respuesta y no ser meramente decorativas.</w:t>
      </w:r>
    </w:p>
    <w:p>
      <w:pPr>
        <w:pStyle w:val="Heading1"/>
      </w:pPr>
      <w:r>
        <w:t>10. Reglas para la implementación</w:t>
      </w:r>
    </w:p>
    <w:p>
      <w:pPr>
        <w:pStyle w:val="ListBullet"/>
      </w:pPr>
      <w:r>
        <w:t>Antes de modificar, inspeccionar la estructura, componentes, estilos y librerías existentes.</w:t>
      </w:r>
    </w:p>
    <w:p>
      <w:pPr>
        <w:pStyle w:val="ListBullet"/>
      </w:pPr>
      <w:r>
        <w:t>Reutilizar componentes y patrones ya presentes; no duplicar funcionalidades ni crear abstracciones innecesarias.</w:t>
      </w:r>
    </w:p>
    <w:p>
      <w:pPr>
        <w:pStyle w:val="ListBullet"/>
      </w:pPr>
      <w:r>
        <w:t>Respetar límites arquitectónicos existentes entre src/app y src/server.</w:t>
      </w:r>
    </w:p>
    <w:p>
      <w:pPr>
        <w:pStyle w:val="ListBullet"/>
      </w:pPr>
      <w:r>
        <w:t>No inventar métodos de pago, entrega, estados, campos, precios ni acciones: derivarlos del modelo y la especificación funcional.</w:t>
      </w:r>
    </w:p>
    <w:p>
      <w:pPr>
        <w:pStyle w:val="ListBullet"/>
      </w:pPr>
      <w:r>
        <w:t>Mantener la lógica actual; los cambios visuales no deben alterar reglas de negocio.</w:t>
      </w:r>
    </w:p>
    <w:p>
      <w:pPr>
        <w:pStyle w:val="ListBullet"/>
      </w:pPr>
      <w:r>
        <w:t>Verificar únicamente flujos nuevos o afectados por el cambio, evitando suites generales repetitivas sin motivo.</w:t>
      </w:r>
    </w:p>
    <w:p>
      <w:pPr>
        <w:pStyle w:val="ListBullet"/>
      </w:pPr>
      <w:r>
        <w:t>No ejecutar type-check rutinario como única verificación ni crear documentación duplicada.</w:t>
      </w:r>
    </w:p>
    <w:p>
      <w:pPr>
        <w:pStyle w:val="ListBullet"/>
      </w:pPr>
      <w:r>
        <w:t>No realizar commits salvo solicitud explícita.</w:t>
      </w:r>
    </w:p>
    <w:p>
      <w:pPr>
        <w:pStyle w:val="Heading1"/>
      </w:pPr>
      <w:r>
        <w:t>11. Referencias aprobadas</w:t>
      </w:r>
    </w:p>
    <w:p>
      <w:r>
        <w:t>Aprobado: logo de mancha INK y sus variantes visuales; navegación pública negra con acentos amarillos; fondo público #E3E8EF; página principal; catálogo; estilo administrativo oscuro; criterios generales de formularios, tablas, botones y responsive. Confirmado en la versión 1.1: tema administrativo oscuro con la paleta de la sección 6; la compra requiere cuenta de cliente (RN-25).</w:t>
      </w:r>
    </w:p>
    <w:p>
      <w:pPr>
        <w:pStyle w:val="Heading1"/>
      </w:pPr>
      <w:r>
        <w:t>12. Matriz de estados</w:t>
      </w:r>
    </w:p>
    <w:p>
      <w:pPr/>
      <w:r>
        <w:t>Esta sección define cómo se presentan los estados reales del sistema (especificación funcional v1.33). No agrega estados, transiciones ni reglas: solo su color y, para el cliente, su texto.</w:t>
      </w:r>
    </w:p>
    <w:p>
      <w:pPr>
        <w:pStyle w:val="Heading2"/>
      </w:pPr>
      <w:r>
        <w:t>12.1 Paleta semántica (F6)</w:t>
      </w:r>
    </w:p>
    <w:p>
      <w:pPr/>
      <w:r>
        <w:t>Cinco familias con el mismo significado en administración y en la tienda pública. Un estado usa la misma familia en todos los módulos; no se asignan colores distintos por módulo.</w:t>
      </w:r>
    </w:p>
    <w:p>
      <w:pPr/>
      <w:r>
        <w:t>Administración (tema oscuro):</w:t>
      </w:r>
    </w:p>
    <w:tbl>
      <w:tblPr>
        <w:tblStyle w:val="LightShading-Accent1"/>
        <w:tblW w:type="auto" w:w="0"/>
        <w:tblLook w:firstColumn="1" w:firstRow="1" w:lastColumn="0" w:lastRow="0" w:noHBand="0" w:noVBand="1" w:val="04A0"/>
      </w:tblPr>
      <w:tblGrid>
        <w:gridCol w:w="3000"/>
        <w:gridCol w:w="1500"/>
        <w:gridCol w:w="1500"/>
        <w:gridCol w:w="4080"/>
      </w:tblGrid>
      <w:tr>
        <w:tc>
          <w:tcPr>
            <w:tcW w:type="dxa" w:w="3000"/>
          </w:tcPr>
          <w:p>
            <w:r>
              <w:t xml:space="preserve">Familia</w:t>
            </w:r>
          </w:p>
        </w:tc>
        <w:tc>
          <w:tcPr>
            <w:tcW w:type="dxa" w:w="1500"/>
          </w:tcPr>
          <w:p>
            <w:r>
              <w:t xml:space="preserve">Fondo</w:t>
            </w:r>
          </w:p>
        </w:tc>
        <w:tc>
          <w:tcPr>
            <w:tcW w:type="dxa" w:w="1500"/>
          </w:tcPr>
          <w:p>
            <w:r>
              <w:t xml:space="preserve">Texto</w:t>
            </w:r>
          </w:p>
        </w:tc>
        <w:tc>
          <w:tcPr>
            <w:tcW w:type="dxa" w:w="4080"/>
          </w:tcPr>
          <w:p>
            <w:r>
              <w:t xml:space="preserve">Muestra</w:t>
            </w:r>
          </w:p>
        </w:tc>
      </w:tr>
      <w:tr>
        <w:tc>
          <w:tcPr>
            <w:tcW w:type="dxa" w:w="3000"/>
          </w:tcPr>
          <w:p>
            <w:r>
              <w:t xml:space="preserve">Espera / pendiente</w:t>
            </w:r>
          </w:p>
        </w:tc>
        <w:tc>
          <w:tcPr>
            <w:tcW w:type="dxa" w:w="1500"/>
          </w:tcPr>
          <w:p>
            <w:r>
              <w:t xml:space="preserve">#594719</w:t>
            </w:r>
          </w:p>
        </w:tc>
        <w:tc>
          <w:tcPr>
            <w:tcW w:type="dxa" w:w="1500"/>
          </w:tcPr>
          <w:p>
            <w:r>
              <w:t xml:space="preserve">#F5D987</w:t>
            </w:r>
          </w:p>
        </w:tc>
        <w:tc>
          <w:tcPr>
            <w:tcW w:type="dxa" w:w="4080"/>
            <w:shd w:val="clear" w:color="auto" w:fill="594719"/>
          </w:tcPr>
          <w:p>
            <w:r>
              <w:rPr>
                <w:b/>
                <w:color w:val="F5D987"/>
              </w:rPr>
              <w:t xml:space="preserve">Espera / pendiente</w:t>
            </w:r>
          </w:p>
        </w:tc>
      </w:tr>
      <w:tr>
        <w:tc>
          <w:tcPr>
            <w:tcW w:type="dxa" w:w="3000"/>
          </w:tcPr>
          <w:p>
            <w:r>
              <w:t xml:space="preserve">En curso / activo</w:t>
            </w:r>
          </w:p>
        </w:tc>
        <w:tc>
          <w:tcPr>
            <w:tcW w:type="dxa" w:w="1500"/>
          </w:tcPr>
          <w:p>
            <w:r>
              <w:t xml:space="preserve">#244B60</w:t>
            </w:r>
          </w:p>
        </w:tc>
        <w:tc>
          <w:tcPr>
            <w:tcW w:type="dxa" w:w="1500"/>
          </w:tcPr>
          <w:p>
            <w:r>
              <w:t xml:space="preserve">#A8DDF5</w:t>
            </w:r>
          </w:p>
        </w:tc>
        <w:tc>
          <w:tcPr>
            <w:tcW w:type="dxa" w:w="4080"/>
            <w:shd w:val="clear" w:color="auto" w:fill="244B60"/>
          </w:tcPr>
          <w:p>
            <w:r>
              <w:rPr>
                <w:b/>
                <w:color w:val="A8DDF5"/>
              </w:rPr>
              <w:t xml:space="preserve">En curso / activo</w:t>
            </w:r>
          </w:p>
        </w:tc>
      </w:tr>
      <w:tr>
        <w:tc>
          <w:tcPr>
            <w:tcW w:type="dxa" w:w="3000"/>
          </w:tcPr>
          <w:p>
            <w:r>
              <w:t xml:space="preserve">Completado / aprobado</w:t>
            </w:r>
          </w:p>
        </w:tc>
        <w:tc>
          <w:tcPr>
            <w:tcW w:type="dxa" w:w="1500"/>
          </w:tcPr>
          <w:p>
            <w:r>
              <w:t xml:space="preserve">#28543A</w:t>
            </w:r>
          </w:p>
        </w:tc>
        <w:tc>
          <w:tcPr>
            <w:tcW w:type="dxa" w:w="1500"/>
          </w:tcPr>
          <w:p>
            <w:r>
              <w:t xml:space="preserve">#A8E0B8</w:t>
            </w:r>
          </w:p>
        </w:tc>
        <w:tc>
          <w:tcPr>
            <w:tcW w:type="dxa" w:w="4080"/>
            <w:shd w:val="clear" w:color="auto" w:fill="28543A"/>
          </w:tcPr>
          <w:p>
            <w:r>
              <w:rPr>
                <w:b/>
                <w:color w:val="A8E0B8"/>
              </w:rPr>
              <w:t xml:space="preserve">Completado / aprobado</w:t>
            </w:r>
          </w:p>
        </w:tc>
      </w:tr>
      <w:tr>
        <w:tc>
          <w:tcPr>
            <w:tcW w:type="dxa" w:w="3000"/>
          </w:tcPr>
          <w:p>
            <w:r>
              <w:t xml:space="preserve">Cancelado / error</w:t>
            </w:r>
          </w:p>
        </w:tc>
        <w:tc>
          <w:tcPr>
            <w:tcW w:type="dxa" w:w="1500"/>
          </w:tcPr>
          <w:p>
            <w:r>
              <w:t xml:space="preserve">#642F2B</w:t>
            </w:r>
          </w:p>
        </w:tc>
        <w:tc>
          <w:tcPr>
            <w:tcW w:type="dxa" w:w="1500"/>
          </w:tcPr>
          <w:p>
            <w:r>
              <w:t xml:space="preserve">#F2B2AA</w:t>
            </w:r>
          </w:p>
        </w:tc>
        <w:tc>
          <w:tcPr>
            <w:tcW w:type="dxa" w:w="4080"/>
            <w:shd w:val="clear" w:color="auto" w:fill="642F2B"/>
          </w:tcPr>
          <w:p>
            <w:r>
              <w:rPr>
                <w:b/>
                <w:color w:val="F2B2AA"/>
              </w:rPr>
              <w:t xml:space="preserve">Cancelado / error</w:t>
            </w:r>
          </w:p>
        </w:tc>
      </w:tr>
      <w:tr>
        <w:tc>
          <w:tcPr>
            <w:tcW w:type="dxa" w:w="3000"/>
          </w:tcPr>
          <w:p>
            <w:r>
              <w:t xml:space="preserve">Cerrado / reemplazado / neutro</w:t>
            </w:r>
          </w:p>
        </w:tc>
        <w:tc>
          <w:tcPr>
            <w:tcW w:type="dxa" w:w="1500"/>
          </w:tcPr>
          <w:p>
            <w:r>
              <w:t xml:space="preserve">#4A4945</w:t>
            </w:r>
          </w:p>
        </w:tc>
        <w:tc>
          <w:tcPr>
            <w:tcW w:type="dxa" w:w="1500"/>
          </w:tcPr>
          <w:p>
            <w:r>
              <w:t xml:space="preserve">#D0CEC8</w:t>
            </w:r>
          </w:p>
        </w:tc>
        <w:tc>
          <w:tcPr>
            <w:tcW w:type="dxa" w:w="4080"/>
            <w:shd w:val="clear" w:color="auto" w:fill="4A4945"/>
          </w:tcPr>
          <w:p>
            <w:r>
              <w:rPr>
                <w:b/>
                <w:color w:val="D0CEC8"/>
              </w:rPr>
              <w:t xml:space="preserve">Cerrado / reemplazado / neutro</w:t>
            </w:r>
          </w:p>
        </w:tc>
      </w:tr>
    </w:tbl>
    <w:p/>
    <w:p>
      <w:pPr/>
      <w:r>
        <w:t>Tienda pública (tema claro):</w:t>
      </w:r>
    </w:p>
    <w:tbl>
      <w:tblPr>
        <w:tblStyle w:val="LightShading-Accent1"/>
        <w:tblW w:type="auto" w:w="0"/>
        <w:tblLook w:firstColumn="1" w:firstRow="1" w:lastColumn="0" w:lastRow="0" w:noHBand="0" w:noVBand="1" w:val="04A0"/>
      </w:tblPr>
      <w:tblGrid>
        <w:gridCol w:w="3000"/>
        <w:gridCol w:w="1500"/>
        <w:gridCol w:w="1500"/>
        <w:gridCol w:w="4080"/>
      </w:tblGrid>
      <w:tr>
        <w:tc>
          <w:tcPr>
            <w:tcW w:type="dxa" w:w="3000"/>
          </w:tcPr>
          <w:p>
            <w:r>
              <w:t xml:space="preserve">Familia</w:t>
            </w:r>
          </w:p>
        </w:tc>
        <w:tc>
          <w:tcPr>
            <w:tcW w:type="dxa" w:w="1500"/>
          </w:tcPr>
          <w:p>
            <w:r>
              <w:t xml:space="preserve">Fondo</w:t>
            </w:r>
          </w:p>
        </w:tc>
        <w:tc>
          <w:tcPr>
            <w:tcW w:type="dxa" w:w="1500"/>
          </w:tcPr>
          <w:p>
            <w:r>
              <w:t xml:space="preserve">Texto</w:t>
            </w:r>
          </w:p>
        </w:tc>
        <w:tc>
          <w:tcPr>
            <w:tcW w:type="dxa" w:w="4080"/>
          </w:tcPr>
          <w:p>
            <w:r>
              <w:t xml:space="preserve">Muestra</w:t>
            </w:r>
          </w:p>
        </w:tc>
      </w:tr>
      <w:tr>
        <w:tc>
          <w:tcPr>
            <w:tcW w:type="dxa" w:w="3000"/>
          </w:tcPr>
          <w:p>
            <w:r>
              <w:t xml:space="preserve">Espera / pendiente</w:t>
            </w:r>
          </w:p>
        </w:tc>
        <w:tc>
          <w:tcPr>
            <w:tcW w:type="dxa" w:w="1500"/>
          </w:tcPr>
          <w:p>
            <w:r>
              <w:t xml:space="preserve">#FFF1C2</w:t>
            </w:r>
          </w:p>
        </w:tc>
        <w:tc>
          <w:tcPr>
            <w:tcW w:type="dxa" w:w="1500"/>
          </w:tcPr>
          <w:p>
            <w:r>
              <w:t xml:space="preserve">#704F00</w:t>
            </w:r>
          </w:p>
        </w:tc>
        <w:tc>
          <w:tcPr>
            <w:tcW w:type="dxa" w:w="4080"/>
            <w:shd w:val="clear" w:color="auto" w:fill="FFF1C2"/>
          </w:tcPr>
          <w:p>
            <w:r>
              <w:rPr>
                <w:b/>
                <w:color w:val="704F00"/>
              </w:rPr>
              <w:t xml:space="preserve">Espera / pendiente</w:t>
            </w:r>
          </w:p>
        </w:tc>
      </w:tr>
      <w:tr>
        <w:tc>
          <w:tcPr>
            <w:tcW w:type="dxa" w:w="3000"/>
          </w:tcPr>
          <w:p>
            <w:r>
              <w:t xml:space="preserve">En curso / activo</w:t>
            </w:r>
          </w:p>
        </w:tc>
        <w:tc>
          <w:tcPr>
            <w:tcW w:type="dxa" w:w="1500"/>
          </w:tcPr>
          <w:p>
            <w:r>
              <w:t xml:space="preserve">#DCEFFA</w:t>
            </w:r>
          </w:p>
        </w:tc>
        <w:tc>
          <w:tcPr>
            <w:tcW w:type="dxa" w:w="1500"/>
          </w:tcPr>
          <w:p>
            <w:r>
              <w:t xml:space="preserve">#174C68</w:t>
            </w:r>
          </w:p>
        </w:tc>
        <w:tc>
          <w:tcPr>
            <w:tcW w:type="dxa" w:w="4080"/>
            <w:shd w:val="clear" w:color="auto" w:fill="DCEFFA"/>
          </w:tcPr>
          <w:p>
            <w:r>
              <w:rPr>
                <w:b/>
                <w:color w:val="174C68"/>
              </w:rPr>
              <w:t xml:space="preserve">En curso / activo</w:t>
            </w:r>
          </w:p>
        </w:tc>
      </w:tr>
      <w:tr>
        <w:tc>
          <w:tcPr>
            <w:tcW w:type="dxa" w:w="3000"/>
          </w:tcPr>
          <w:p>
            <w:r>
              <w:t xml:space="preserve">Completado / aprobado</w:t>
            </w:r>
          </w:p>
        </w:tc>
        <w:tc>
          <w:tcPr>
            <w:tcW w:type="dxa" w:w="1500"/>
          </w:tcPr>
          <w:p>
            <w:r>
              <w:t xml:space="preserve">#DDF3E3</w:t>
            </w:r>
          </w:p>
        </w:tc>
        <w:tc>
          <w:tcPr>
            <w:tcW w:type="dxa" w:w="1500"/>
          </w:tcPr>
          <w:p>
            <w:r>
              <w:t xml:space="preserve">#205C35</w:t>
            </w:r>
          </w:p>
        </w:tc>
        <w:tc>
          <w:tcPr>
            <w:tcW w:type="dxa" w:w="4080"/>
            <w:shd w:val="clear" w:color="auto" w:fill="DDF3E3"/>
          </w:tcPr>
          <w:p>
            <w:r>
              <w:rPr>
                <w:b/>
                <w:color w:val="205C35"/>
              </w:rPr>
              <w:t xml:space="preserve">Completado / aprobado</w:t>
            </w:r>
          </w:p>
        </w:tc>
      </w:tr>
      <w:tr>
        <w:tc>
          <w:tcPr>
            <w:tcW w:type="dxa" w:w="3000"/>
          </w:tcPr>
          <w:p>
            <w:r>
              <w:t xml:space="preserve">Cancelado / error</w:t>
            </w:r>
          </w:p>
        </w:tc>
        <w:tc>
          <w:tcPr>
            <w:tcW w:type="dxa" w:w="1500"/>
          </w:tcPr>
          <w:p>
            <w:r>
              <w:t xml:space="preserve">#FBE4E1</w:t>
            </w:r>
          </w:p>
        </w:tc>
        <w:tc>
          <w:tcPr>
            <w:tcW w:type="dxa" w:w="1500"/>
          </w:tcPr>
          <w:p>
            <w:r>
              <w:t xml:space="preserve">#8B2922</w:t>
            </w:r>
          </w:p>
        </w:tc>
        <w:tc>
          <w:tcPr>
            <w:tcW w:type="dxa" w:w="4080"/>
            <w:shd w:val="clear" w:color="auto" w:fill="FBE4E1"/>
          </w:tcPr>
          <w:p>
            <w:r>
              <w:rPr>
                <w:b/>
                <w:color w:val="8B2922"/>
              </w:rPr>
              <w:t xml:space="preserve">Cancelado / error</w:t>
            </w:r>
          </w:p>
        </w:tc>
      </w:tr>
      <w:tr>
        <w:tc>
          <w:tcPr>
            <w:tcW w:type="dxa" w:w="3000"/>
          </w:tcPr>
          <w:p>
            <w:r>
              <w:t xml:space="preserve">Cerrado / reemplazado / neutro</w:t>
            </w:r>
          </w:p>
        </w:tc>
        <w:tc>
          <w:tcPr>
            <w:tcW w:type="dxa" w:w="1500"/>
          </w:tcPr>
          <w:p>
            <w:r>
              <w:t xml:space="preserve">#E9E9E6</w:t>
            </w:r>
          </w:p>
        </w:tc>
        <w:tc>
          <w:tcPr>
            <w:tcW w:type="dxa" w:w="1500"/>
          </w:tcPr>
          <w:p>
            <w:r>
              <w:t xml:space="preserve">#55554F</w:t>
            </w:r>
          </w:p>
        </w:tc>
        <w:tc>
          <w:tcPr>
            <w:tcW w:type="dxa" w:w="4080"/>
            <w:shd w:val="clear" w:color="auto" w:fill="E9E9E6"/>
          </w:tcPr>
          <w:p>
            <w:r>
              <w:rPr>
                <w:b/>
                <w:color w:val="55554F"/>
              </w:rPr>
              <w:t xml:space="preserve">Cerrado / reemplazado / neutro</w:t>
            </w:r>
          </w:p>
        </w:tc>
      </w:tr>
    </w:tbl>
    <w:p/>
    <w:p>
      <w:pPr/>
      <w:r>
        <w:t>Contraste verificado del texto sobre su fondo: administración entre 5,7:1 y 6,5:1; tienda pública entre 6,2:1 y 7,8:1. Todos superan 4,5:1. El fondo de la etiqueta casi no se distingue de la superficie donde se apoya (el oscuro sobre #42413E, el claro sobre #FFFFFF o #E3E8EF); como el estado lo comunica el texto, se acepta.</w:t>
      </w:r>
    </w:p>
    <w:p>
      <w:pPr>
        <w:pStyle w:val="Heading2"/>
      </w:pPr>
      <w:r>
        <w:t>12.2 Asignación por módulo (F6)</w:t>
      </w:r>
    </w:p>
    <w:p>
      <w:pPr/>
      <w:r>
        <w:t>Pedidos (EstadoPedido):</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EN_DEFINICION</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ENVIO_A_COTIZAR</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ENVIO_COTIZADO</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PENDIENTE_PAGO</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RESERVADO</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CONFIRMADO</w:t>
            </w:r>
          </w:p>
        </w:tc>
        <w:tc>
          <w:tcPr>
            <w:tcW w:type="dxa" w:w="2700"/>
          </w:tcPr>
          <w:p>
            <w:r>
              <w:t xml:space="preserve">En curso / activo</w:t>
            </w:r>
          </w:p>
        </w:tc>
        <w:tc>
          <w:tcPr>
            <w:tcW w:type="dxa" w:w="2340"/>
            <w:shd w:val="clear" w:color="auto" w:fill="244B60"/>
          </w:tcPr>
          <w:p>
            <w:r>
              <w:rPr>
                <w:b/>
                <w:color w:val="A8DDF5"/>
              </w:rPr>
              <w:t xml:space="preserve">En curso / activo</w:t>
            </w:r>
          </w:p>
        </w:tc>
        <w:tc>
          <w:tcPr>
            <w:tcW w:type="dxa" w:w="2340"/>
            <w:shd w:val="clear" w:color="auto" w:fill="DCEFFA"/>
          </w:tcPr>
          <w:p>
            <w:r>
              <w:rPr>
                <w:b/>
                <w:color w:val="174C68"/>
              </w:rPr>
              <w:t xml:space="preserve">En curso / activo</w:t>
            </w:r>
          </w:p>
        </w:tc>
      </w:tr>
      <w:tr>
        <w:tc>
          <w:tcPr>
            <w:tcW w:type="dxa" w:w="2700"/>
          </w:tcPr>
          <w:p>
            <w:r>
              <w:t xml:space="preserve">EN_PRODUCCION</w:t>
            </w:r>
          </w:p>
        </w:tc>
        <w:tc>
          <w:tcPr>
            <w:tcW w:type="dxa" w:w="2700"/>
          </w:tcPr>
          <w:p>
            <w:r>
              <w:t xml:space="preserve">En curso / activo</w:t>
            </w:r>
          </w:p>
        </w:tc>
        <w:tc>
          <w:tcPr>
            <w:tcW w:type="dxa" w:w="2340"/>
            <w:shd w:val="clear" w:color="auto" w:fill="244B60"/>
          </w:tcPr>
          <w:p>
            <w:r>
              <w:rPr>
                <w:b/>
                <w:color w:val="A8DDF5"/>
              </w:rPr>
              <w:t xml:space="preserve">En curso / activo</w:t>
            </w:r>
          </w:p>
        </w:tc>
        <w:tc>
          <w:tcPr>
            <w:tcW w:type="dxa" w:w="2340"/>
            <w:shd w:val="clear" w:color="auto" w:fill="DCEFFA"/>
          </w:tcPr>
          <w:p>
            <w:r>
              <w:rPr>
                <w:b/>
                <w:color w:val="174C68"/>
              </w:rPr>
              <w:t xml:space="preserve">En curso / activo</w:t>
            </w:r>
          </w:p>
        </w:tc>
      </w:tr>
      <w:tr>
        <w:tc>
          <w:tcPr>
            <w:tcW w:type="dxa" w:w="2700"/>
          </w:tcPr>
          <w:p>
            <w:r>
              <w:t xml:space="preserve">LISTO_PARA_RETIRO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 xml:space="preserve">DESPACHADO</w:t>
            </w:r>
          </w:p>
        </w:tc>
        <w:tc>
          <w:tcPr>
            <w:tcW w:type="dxa" w:w="2700"/>
          </w:tcPr>
          <w:p>
            <w:r>
              <w:t xml:space="preserve">En curso / activo</w:t>
            </w:r>
          </w:p>
        </w:tc>
        <w:tc>
          <w:tcPr>
            <w:tcW w:type="dxa" w:w="2340"/>
            <w:shd w:val="clear" w:color="auto" w:fill="244B60"/>
          </w:tcPr>
          <w:p>
            <w:r>
              <w:rPr>
                <w:b/>
                <w:color w:val="A8DDF5"/>
              </w:rPr>
              <w:t xml:space="preserve">En curso / activo</w:t>
            </w:r>
          </w:p>
        </w:tc>
        <w:tc>
          <w:tcPr>
            <w:tcW w:type="dxa" w:w="2340"/>
            <w:shd w:val="clear" w:color="auto" w:fill="DCEFFA"/>
          </w:tcPr>
          <w:p>
            <w:r>
              <w:rPr>
                <w:b/>
                <w:color w:val="174C68"/>
              </w:rPr>
              <w:t xml:space="preserve">En curso / activo</w:t>
            </w:r>
          </w:p>
        </w:tc>
      </w:tr>
      <w:tr>
        <w:tc>
          <w:tcPr>
            <w:tcW w:type="dxa" w:w="2700"/>
          </w:tcPr>
          <w:p>
            <w:r>
              <w:t xml:space="preserve">ENTREGADO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 xml:space="preserve">CANCELADO</w:t>
            </w:r>
          </w:p>
        </w:tc>
        <w:tc>
          <w:tcPr>
            <w:tcW w:type="dxa" w:w="2700"/>
          </w:tcPr>
          <w:p>
            <w:r>
              <w:t xml:space="preserve">Cancelado / error</w:t>
            </w:r>
          </w:p>
        </w:tc>
        <w:tc>
          <w:tcPr>
            <w:tcW w:type="dxa" w:w="2340"/>
            <w:shd w:val="clear" w:color="auto" w:fill="642F2B"/>
          </w:tcPr>
          <w:p>
            <w:r>
              <w:rPr>
                <w:b/>
                <w:color w:val="F2B2AA"/>
              </w:rPr>
              <w:t xml:space="preserve">Cancelado / error</w:t>
            </w:r>
          </w:p>
        </w:tc>
        <w:tc>
          <w:tcPr>
            <w:tcW w:type="dxa" w:w="2340"/>
            <w:shd w:val="clear" w:color="auto" w:fill="FBE4E1"/>
          </w:tcPr>
          <w:p>
            <w:r>
              <w:rPr>
                <w:b/>
                <w:color w:val="8B2922"/>
              </w:rPr>
              <w:t xml:space="preserve">Cancelado / error</w:t>
            </w:r>
          </w:p>
        </w:tc>
      </w:tr>
      <w:tr>
        <w:tc>
          <w:tcPr>
            <w:tcW w:type="dxa" w:w="2700"/>
          </w:tcPr>
          <w:p>
            <w:r>
              <w:t xml:space="preserve">VENCIDO</w:t>
            </w:r>
          </w:p>
        </w:tc>
        <w:tc>
          <w:tcPr>
            <w:tcW w:type="dxa" w:w="2700"/>
          </w:tcPr>
          <w:p>
            <w:r>
              <w:t xml:space="preserve">Cerrado / reemplazado / neutro</w:t>
            </w:r>
          </w:p>
        </w:tc>
        <w:tc>
          <w:tcPr>
            <w:tcW w:type="dxa" w:w="2340"/>
            <w:shd w:val="clear" w:color="auto" w:fill="4A4945"/>
          </w:tcPr>
          <w:p>
            <w:r>
              <w:rPr>
                <w:b/>
                <w:color w:val="D0CEC8"/>
              </w:rPr>
              <w:t xml:space="preserve">Cerrado / reemplazado / neutro</w:t>
            </w:r>
          </w:p>
        </w:tc>
        <w:tc>
          <w:tcPr>
            <w:tcW w:type="dxa" w:w="2340"/>
            <w:shd w:val="clear" w:color="auto" w:fill="E9E9E6"/>
          </w:tcPr>
          <w:p>
            <w:r>
              <w:rPr>
                <w:b/>
                <w:color w:val="55554F"/>
              </w:rPr>
              <w:t xml:space="preserve">Cerrado / reemplazado / neutro</w:t>
            </w:r>
          </w:p>
        </w:tc>
      </w:tr>
    </w:tbl>
    <w:p/>
    <w:p>
      <w:pPr/>
      <w:r>
        <w:t>LISTO_PARA_RETIRO es verde por decisión explícita: la producción terminó y el pedido está listo para el cliente, aunque todavía no sea un estado final.</w:t>
      </w:r>
    </w:p>
    <w:p>
      <w:pPr/>
      <w:r>
        <w:t>Pagos (EstadoPago):</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APROBADO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 xml:space="preserve">RECHAZADO</w:t>
            </w:r>
          </w:p>
        </w:tc>
        <w:tc>
          <w:tcPr>
            <w:tcW w:type="dxa" w:w="2700"/>
          </w:tcPr>
          <w:p>
            <w:r>
              <w:t xml:space="preserve">Cancelado / error</w:t>
            </w:r>
          </w:p>
        </w:tc>
        <w:tc>
          <w:tcPr>
            <w:tcW w:type="dxa" w:w="2340"/>
            <w:shd w:val="clear" w:color="auto" w:fill="642F2B"/>
          </w:tcPr>
          <w:p>
            <w:r>
              <w:rPr>
                <w:b/>
                <w:color w:val="F2B2AA"/>
              </w:rPr>
              <w:t xml:space="preserve">Cancelado / error</w:t>
            </w:r>
          </w:p>
        </w:tc>
        <w:tc>
          <w:tcPr>
            <w:tcW w:type="dxa" w:w="2340"/>
            <w:shd w:val="clear" w:color="auto" w:fill="FBE4E1"/>
          </w:tcPr>
          <w:p>
            <w:r>
              <w:rPr>
                <w:b/>
                <w:color w:val="8B2922"/>
              </w:rPr>
              <w:t xml:space="preserve">Cancelado / error</w:t>
            </w:r>
          </w:p>
        </w:tc>
      </w:tr>
      <w:tr>
        <w:tc>
          <w:tcPr>
            <w:tcW w:type="dxa" w:w="2700"/>
          </w:tcPr>
          <w:p>
            <w:r>
              <w:t xml:space="preserve">ERROR</w:t>
            </w:r>
          </w:p>
        </w:tc>
        <w:tc>
          <w:tcPr>
            <w:tcW w:type="dxa" w:w="2700"/>
          </w:tcPr>
          <w:p>
            <w:r>
              <w:t xml:space="preserve">Cancelado / error</w:t>
            </w:r>
          </w:p>
        </w:tc>
        <w:tc>
          <w:tcPr>
            <w:tcW w:type="dxa" w:w="2340"/>
            <w:shd w:val="clear" w:color="auto" w:fill="642F2B"/>
          </w:tcPr>
          <w:p>
            <w:r>
              <w:rPr>
                <w:b/>
                <w:color w:val="F2B2AA"/>
              </w:rPr>
              <w:t xml:space="preserve">Cancelado / error</w:t>
            </w:r>
          </w:p>
        </w:tc>
        <w:tc>
          <w:tcPr>
            <w:tcW w:type="dxa" w:w="2340"/>
            <w:shd w:val="clear" w:color="auto" w:fill="FBE4E1"/>
          </w:tcPr>
          <w:p>
            <w:r>
              <w:rPr>
                <w:b/>
                <w:color w:val="8B2922"/>
              </w:rPr>
              <w:t xml:space="preserve">Cancelado / error</w:t>
            </w:r>
          </w:p>
        </w:tc>
      </w:tr>
    </w:tbl>
    <w:p/>
    <w:p>
      <w:pPr/>
      <w:r>
        <w:t>RECHAZADO y ERROR comparten la familia roja, con textos explicativos distintos.</w:t>
      </w:r>
    </w:p>
    <w:p>
      <w:pPr/>
      <w:r>
        <w:t>Cupones (EstadoCupon):</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ACTIVO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 xml:space="preserve">USADO</w:t>
            </w:r>
          </w:p>
        </w:tc>
        <w:tc>
          <w:tcPr>
            <w:tcW w:type="dxa" w:w="2700"/>
          </w:tcPr>
          <w:p>
            <w:r>
              <w:t xml:space="preserve">Cerrado / reemplazado / neutro</w:t>
            </w:r>
          </w:p>
        </w:tc>
        <w:tc>
          <w:tcPr>
            <w:tcW w:type="dxa" w:w="2340"/>
            <w:shd w:val="clear" w:color="auto" w:fill="4A4945"/>
          </w:tcPr>
          <w:p>
            <w:r>
              <w:rPr>
                <w:b/>
                <w:color w:val="D0CEC8"/>
              </w:rPr>
              <w:t xml:space="preserve">Cerrado / reemplazado / neutro</w:t>
            </w:r>
          </w:p>
        </w:tc>
        <w:tc>
          <w:tcPr>
            <w:tcW w:type="dxa" w:w="2340"/>
            <w:shd w:val="clear" w:color="auto" w:fill="E9E9E6"/>
          </w:tcPr>
          <w:p>
            <w:r>
              <w:rPr>
                <w:b/>
                <w:color w:val="55554F"/>
              </w:rPr>
              <w:t xml:space="preserve">Cerrado / reemplazado / neutro</w:t>
            </w:r>
          </w:p>
        </w:tc>
      </w:tr>
      <w:tr>
        <w:tc>
          <w:tcPr>
            <w:tcW w:type="dxa" w:w="2700"/>
          </w:tcPr>
          <w:p>
            <w:r>
              <w:t xml:space="preserve">VENCIDO</w:t>
            </w:r>
          </w:p>
        </w:tc>
        <w:tc>
          <w:tcPr>
            <w:tcW w:type="dxa" w:w="2700"/>
          </w:tcPr>
          <w:p>
            <w:r>
              <w:t xml:space="preserve">Cerrado / reemplazado / neutro</w:t>
            </w:r>
          </w:p>
        </w:tc>
        <w:tc>
          <w:tcPr>
            <w:tcW w:type="dxa" w:w="2340"/>
            <w:shd w:val="clear" w:color="auto" w:fill="4A4945"/>
          </w:tcPr>
          <w:p>
            <w:r>
              <w:rPr>
                <w:b/>
                <w:color w:val="D0CEC8"/>
              </w:rPr>
              <w:t xml:space="preserve">Cerrado / reemplazado / neutro</w:t>
            </w:r>
          </w:p>
        </w:tc>
        <w:tc>
          <w:tcPr>
            <w:tcW w:type="dxa" w:w="2340"/>
            <w:shd w:val="clear" w:color="auto" w:fill="E9E9E6"/>
          </w:tcPr>
          <w:p>
            <w:r>
              <w:rPr>
                <w:b/>
                <w:color w:val="55554F"/>
              </w:rPr>
              <w:t xml:space="preserve">Cerrado / reemplazado / neutro</w:t>
            </w:r>
          </w:p>
        </w:tc>
      </w:tr>
      <w:tr>
        <w:tc>
          <w:tcPr>
            <w:tcW w:type="dxa" w:w="2700"/>
          </w:tcPr>
          <w:p>
            <w:r>
              <w:t xml:space="preserve">ANULADO</w:t>
            </w:r>
          </w:p>
        </w:tc>
        <w:tc>
          <w:tcPr>
            <w:tcW w:type="dxa" w:w="2700"/>
          </w:tcPr>
          <w:p>
            <w:r>
              <w:t xml:space="preserve">Cancelado / error</w:t>
            </w:r>
          </w:p>
        </w:tc>
        <w:tc>
          <w:tcPr>
            <w:tcW w:type="dxa" w:w="2340"/>
            <w:shd w:val="clear" w:color="auto" w:fill="642F2B"/>
          </w:tcPr>
          <w:p>
            <w:r>
              <w:rPr>
                <w:b/>
                <w:color w:val="F2B2AA"/>
              </w:rPr>
              <w:t xml:space="preserve">Cancelado / error</w:t>
            </w:r>
          </w:p>
        </w:tc>
        <w:tc>
          <w:tcPr>
            <w:tcW w:type="dxa" w:w="2340"/>
            <w:shd w:val="clear" w:color="auto" w:fill="FBE4E1"/>
          </w:tcPr>
          <w:p>
            <w:r>
              <w:rPr>
                <w:b/>
                <w:color w:val="8B2922"/>
              </w:rPr>
              <w:t xml:space="preserve">Cancelado / error</w:t>
            </w:r>
          </w:p>
        </w:tc>
      </w:tr>
    </w:tbl>
    <w:p/>
    <w:p>
      <w:pPr/>
      <w:r>
        <w:t>Un cupón ACTIVO con la fecha de vencimiento pasada se muestra como vencido, aunque el estado guardado no haya cambiado.</w:t>
      </w:r>
    </w:p>
    <w:p>
      <w:pPr/>
      <w:r>
        <w:t>Reembolsos (EstadoReembolso):</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PENDIENTE</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REALIZADO_SIMULADO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 xml:space="preserve">PENDIENTE_ARREGLO</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DEVUELTO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bl>
    <w:p/>
    <w:p>
      <w:pPr/>
      <w:r>
        <w:t>Diseños (EstadoDiseno):</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SIN_PROPUESTA</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PENDIENTE_APROBACION</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CAMBIOS_SOLICITADOS</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APROBADO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bl>
    <w:p/>
    <w:p>
      <w:pPr/>
      <w:r>
        <w:t>APROBADO es verde aunque no es final: una versión nueva vuelve a pedir aprobación (D-26).</w:t>
      </w:r>
    </w:p>
    <w:p>
      <w:pPr/>
      <w:r>
        <w:t>Cotizaciones (EstadoCotizacion y EstadoCotizacionEnvio):</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PROPUESTA</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ACEPTADA</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 xml:space="preserve">RECHAZADA</w:t>
            </w:r>
          </w:p>
        </w:tc>
        <w:tc>
          <w:tcPr>
            <w:tcW w:type="dxa" w:w="2700"/>
          </w:tcPr>
          <w:p>
            <w:r>
              <w:t xml:space="preserve">Cancelado / error</w:t>
            </w:r>
          </w:p>
        </w:tc>
        <w:tc>
          <w:tcPr>
            <w:tcW w:type="dxa" w:w="2340"/>
            <w:shd w:val="clear" w:color="auto" w:fill="642F2B"/>
          </w:tcPr>
          <w:p>
            <w:r>
              <w:rPr>
                <w:b/>
                <w:color w:val="F2B2AA"/>
              </w:rPr>
              <w:t xml:space="preserve">Cancelado / error</w:t>
            </w:r>
          </w:p>
        </w:tc>
        <w:tc>
          <w:tcPr>
            <w:tcW w:type="dxa" w:w="2340"/>
            <w:shd w:val="clear" w:color="auto" w:fill="FBE4E1"/>
          </w:tcPr>
          <w:p>
            <w:r>
              <w:rPr>
                <w:b/>
                <w:color w:val="8B2922"/>
              </w:rPr>
              <w:t xml:space="preserve">Cancelado / error</w:t>
            </w:r>
          </w:p>
        </w:tc>
      </w:tr>
      <w:tr>
        <w:tc>
          <w:tcPr>
            <w:tcW w:type="dxa" w:w="2700"/>
          </w:tcPr>
          <w:p>
            <w:r>
              <w:t xml:space="preserve">REEMPLAZADA</w:t>
            </w:r>
          </w:p>
        </w:tc>
        <w:tc>
          <w:tcPr>
            <w:tcW w:type="dxa" w:w="2700"/>
          </w:tcPr>
          <w:p>
            <w:r>
              <w:t xml:space="preserve">Cerrado / reemplazado / neutro</w:t>
            </w:r>
          </w:p>
        </w:tc>
        <w:tc>
          <w:tcPr>
            <w:tcW w:type="dxa" w:w="2340"/>
            <w:shd w:val="clear" w:color="auto" w:fill="4A4945"/>
          </w:tcPr>
          <w:p>
            <w:r>
              <w:rPr>
                <w:b/>
                <w:color w:val="D0CEC8"/>
              </w:rPr>
              <w:t xml:space="preserve">Cerrado / reemplazado / neutro</w:t>
            </w:r>
          </w:p>
        </w:tc>
        <w:tc>
          <w:tcPr>
            <w:tcW w:type="dxa" w:w="2340"/>
            <w:shd w:val="clear" w:color="auto" w:fill="E9E9E6"/>
          </w:tcPr>
          <w:p>
            <w:r>
              <w:rPr>
                <w:b/>
                <w:color w:val="55554F"/>
              </w:rPr>
              <w:t xml:space="preserve">Cerrado / reemplazado / neutro</w:t>
            </w:r>
          </w:p>
        </w:tc>
      </w:tr>
    </w:tbl>
    <w:p/>
    <w:p>
      <w:pPr/>
      <w:r>
        <w:t>Reglas de la matriz:</w:t>
      </w:r>
    </w:p>
    <w:p>
      <w:pPr>
        <w:pStyle w:val="ListBullet"/>
      </w:pPr>
      <w:r>
        <w:t>Cancelaciones y rechazos, en rojo; reemplazados y vencidos, en gris neutro.</w:t>
      </w:r>
    </w:p>
    <w:p>
      <w:pPr>
        <w:pStyle w:val="ListBullet"/>
      </w:pPr>
      <w:r>
        <w:t>El color nunca es el único indicador: siempre va con el texto del estado y, cuando aporte claridad, con un icono.</w:t>
      </w:r>
    </w:p>
    <w:p>
      <w:pPr>
        <w:pStyle w:val="ListBullet"/>
      </w:pPr>
      <w:r>
        <w:t>No confundir el estado del pedido con el de sus pagos, cotizaciones o diseños: cada uno se muestra con su propia etiqueta.</w:t>
      </w:r>
    </w:p>
    <w:p>
      <w:pPr>
        <w:pStyle w:val="ListBullet"/>
      </w:pPr>
      <w:r>
        <w:t>Una cotización puede seguir guardada como PROPUESTA aunque el pedido esté cancelado o ya no permita aceptarla. La interfaz considera el estado del pedido y no la presenta como una propuesta disponible.</w:t>
      </w:r>
    </w:p>
    <w:p>
      <w:pPr>
        <w:pStyle w:val="ListBullet"/>
      </w:pPr>
      <w:r>
        <w:t>SIN_PAGO_REQUERIDO (RN-32) y SIN_SENA_REQUERIDA (D-55) no son estados: son motivos del historial de un pedido CONFIRMADO.</w:t>
      </w:r>
    </w:p>
    <w:p>
      <w:pPr>
        <w:pStyle w:val="ListBullet"/>
      </w:pPr>
      <w:r>
        <w:t>No se incluyen estados que la especificación deja fuera de la implementación actual (Reembolso.ANULADO; PENDIENTE_IMPORTE y ANULADO de los cargos). Los estados de los cargos (REGISTRADO, PENDIENTE_ARREGLO, COBRADO, CONDONADO, INCOBRABLE) no tienen familia asignada todavía (ver 13.3).</w:t>
      </w:r>
    </w:p>
    <w:p>
      <w:pPr>
        <w:pStyle w:val="ListBullet"/>
      </w:pPr>
      <w:r>
        <w:t>Los estados de correos, archivos y productos quedan fuera de esta matriz.</w:t>
      </w:r>
    </w:p>
    <w:p>
      <w:pPr>
        <w:pStyle w:val="Heading2"/>
      </w:pPr>
      <w:r>
        <w:t>12.3 Estados y datos visibles para el cliente (F7)</w:t>
      </w:r>
    </w:p>
    <w:p>
      <w:pPr/>
      <w:r>
        <w:t>La tienda pública muestra la experiencia real del cliente, no todos los estados internos. Usa los colores públicos de 12.1 y 12.2.</w:t>
      </w:r>
    </w:p>
    <w:p>
      <w:pPr/>
      <w:r>
        <w:t>Pedidos: los 12 estados son visibles, con estos textos.</w:t>
      </w:r>
    </w:p>
    <w:tbl>
      <w:tblPr>
        <w:tblStyle w:val="LightShading-Accent1"/>
        <w:tblW w:type="auto" w:w="0"/>
        <w:tblLook w:firstColumn="1" w:firstRow="1" w:lastColumn="0" w:lastRow="0" w:noHBand="0" w:noVBand="1" w:val="04A0"/>
      </w:tblPr>
      <w:tblGrid>
        <w:gridCol w:w="3000"/>
        <w:gridCol w:w="3540"/>
        <w:gridCol w:w="3540"/>
      </w:tblGrid>
      <w:tr>
        <w:tc>
          <w:tcPr>
            <w:tcW w:type="dxa" w:w="3000"/>
          </w:tcPr>
          <w:p>
            <w:r>
              <w:t xml:space="preserve">Estado interno</w:t>
            </w:r>
          </w:p>
        </w:tc>
        <w:tc>
          <w:tcPr>
            <w:tcW w:type="dxa" w:w="3540"/>
          </w:tcPr>
          <w:p>
            <w:r>
              <w:t xml:space="preserve">Texto público</w:t>
            </w:r>
          </w:p>
        </w:tc>
        <w:tc>
          <w:tcPr>
            <w:tcW w:type="dxa" w:w="3540"/>
          </w:tcPr>
          <w:p>
            <w:r>
              <w:t xml:space="preserve">Color</w:t>
            </w:r>
          </w:p>
        </w:tc>
      </w:tr>
      <w:tr>
        <w:tc>
          <w:tcPr>
            <w:tcW w:type="dxa" w:w="3000"/>
          </w:tcPr>
          <w:p>
            <w:r>
              <w:t xml:space="preserve">EN_DEFINICION</w:t>
            </w:r>
          </w:p>
        </w:tc>
        <w:tc>
          <w:tcPr>
            <w:tcW w:type="dxa" w:w="3540"/>
          </w:tcPr>
          <w:p>
            <w:r>
              <w:t xml:space="preserve">Definiendo tu pedido</w:t>
            </w:r>
          </w:p>
        </w:tc>
        <w:tc>
          <w:tcPr>
            <w:tcW w:type="dxa" w:w="3540"/>
            <w:shd w:val="clear" w:color="auto" w:fill="FFF1C2"/>
          </w:tcPr>
          <w:p>
            <w:r>
              <w:rPr>
                <w:b/>
                <w:color w:val="704F00"/>
              </w:rPr>
              <w:t xml:space="preserve">Espera / pendiente</w:t>
            </w:r>
          </w:p>
        </w:tc>
      </w:tr>
      <w:tr>
        <w:tc>
          <w:tcPr>
            <w:tcW w:type="dxa" w:w="3000"/>
          </w:tcPr>
          <w:p>
            <w:r>
              <w:t xml:space="preserve">ENVIO_A_COTIZAR</w:t>
            </w:r>
          </w:p>
        </w:tc>
        <w:tc>
          <w:tcPr>
            <w:tcW w:type="dxa" w:w="3540"/>
          </w:tcPr>
          <w:p>
            <w:r>
              <w:t xml:space="preserve">Cotizando el envío</w:t>
            </w:r>
          </w:p>
        </w:tc>
        <w:tc>
          <w:tcPr>
            <w:tcW w:type="dxa" w:w="3540"/>
            <w:shd w:val="clear" w:color="auto" w:fill="FFF1C2"/>
          </w:tcPr>
          <w:p>
            <w:r>
              <w:rPr>
                <w:b/>
                <w:color w:val="704F00"/>
              </w:rPr>
              <w:t xml:space="preserve">Espera / pendiente</w:t>
            </w:r>
          </w:p>
        </w:tc>
      </w:tr>
      <w:tr>
        <w:tc>
          <w:tcPr>
            <w:tcW w:type="dxa" w:w="3000"/>
          </w:tcPr>
          <w:p>
            <w:r>
              <w:t xml:space="preserve">ENVIO_COTIZADO</w:t>
            </w:r>
          </w:p>
        </w:tc>
        <w:tc>
          <w:tcPr>
            <w:tcW w:type="dxa" w:w="3540"/>
          </w:tcPr>
          <w:p>
            <w:r>
              <w:t xml:space="preserve">Envío cotizado</w:t>
            </w:r>
          </w:p>
        </w:tc>
        <w:tc>
          <w:tcPr>
            <w:tcW w:type="dxa" w:w="3540"/>
            <w:shd w:val="clear" w:color="auto" w:fill="FFF1C2"/>
          </w:tcPr>
          <w:p>
            <w:r>
              <w:rPr>
                <w:b/>
                <w:color w:val="704F00"/>
              </w:rPr>
              <w:t xml:space="preserve">Espera / pendiente</w:t>
            </w:r>
          </w:p>
        </w:tc>
      </w:tr>
      <w:tr>
        <w:tc>
          <w:tcPr>
            <w:tcW w:type="dxa" w:w="3000"/>
          </w:tcPr>
          <w:p>
            <w:r>
              <w:t xml:space="preserve">PENDIENTE_PAGO</w:t>
            </w:r>
          </w:p>
        </w:tc>
        <w:tc>
          <w:tcPr>
            <w:tcW w:type="dxa" w:w="3540"/>
          </w:tcPr>
          <w:p>
            <w:r>
              <w:t xml:space="preserve">Pago pendiente</w:t>
            </w:r>
          </w:p>
        </w:tc>
        <w:tc>
          <w:tcPr>
            <w:tcW w:type="dxa" w:w="3540"/>
            <w:shd w:val="clear" w:color="auto" w:fill="FFF1C2"/>
          </w:tcPr>
          <w:p>
            <w:r>
              <w:rPr>
                <w:b/>
                <w:color w:val="704F00"/>
              </w:rPr>
              <w:t xml:space="preserve">Espera / pendiente</w:t>
            </w:r>
          </w:p>
        </w:tc>
      </w:tr>
      <w:tr>
        <w:tc>
          <w:tcPr>
            <w:tcW w:type="dxa" w:w="3000"/>
          </w:tcPr>
          <w:p>
            <w:r>
              <w:t xml:space="preserve">RESERVADO</w:t>
            </w:r>
          </w:p>
        </w:tc>
        <w:tc>
          <w:tcPr>
            <w:tcW w:type="dxa" w:w="3540"/>
          </w:tcPr>
          <w:p>
            <w:r>
              <w:t xml:space="preserve">Reservado</w:t>
            </w:r>
          </w:p>
        </w:tc>
        <w:tc>
          <w:tcPr>
            <w:tcW w:type="dxa" w:w="3540"/>
            <w:shd w:val="clear" w:color="auto" w:fill="FFF1C2"/>
          </w:tcPr>
          <w:p>
            <w:r>
              <w:rPr>
                <w:b/>
                <w:color w:val="704F00"/>
              </w:rPr>
              <w:t xml:space="preserve">Espera / pendiente</w:t>
            </w:r>
          </w:p>
        </w:tc>
      </w:tr>
      <w:tr>
        <w:tc>
          <w:tcPr>
            <w:tcW w:type="dxa" w:w="3000"/>
          </w:tcPr>
          <w:p>
            <w:r>
              <w:t xml:space="preserve">CONFIRMADO</w:t>
            </w:r>
          </w:p>
        </w:tc>
        <w:tc>
          <w:tcPr>
            <w:tcW w:type="dxa" w:w="3540"/>
          </w:tcPr>
          <w:p>
            <w:r>
              <w:t xml:space="preserve">Confirmado</w:t>
            </w:r>
          </w:p>
        </w:tc>
        <w:tc>
          <w:tcPr>
            <w:tcW w:type="dxa" w:w="3540"/>
            <w:shd w:val="clear" w:color="auto" w:fill="DCEFFA"/>
          </w:tcPr>
          <w:p>
            <w:r>
              <w:rPr>
                <w:b/>
                <w:color w:val="174C68"/>
              </w:rPr>
              <w:t xml:space="preserve">En curso / activo</w:t>
            </w:r>
          </w:p>
        </w:tc>
      </w:tr>
      <w:tr>
        <w:tc>
          <w:tcPr>
            <w:tcW w:type="dxa" w:w="3000"/>
          </w:tcPr>
          <w:p>
            <w:r>
              <w:t xml:space="preserve">EN_PRODUCCION</w:t>
            </w:r>
          </w:p>
        </w:tc>
        <w:tc>
          <w:tcPr>
            <w:tcW w:type="dxa" w:w="3540"/>
          </w:tcPr>
          <w:p>
            <w:r>
              <w:t xml:space="preserve">En producción</w:t>
            </w:r>
          </w:p>
        </w:tc>
        <w:tc>
          <w:tcPr>
            <w:tcW w:type="dxa" w:w="3540"/>
            <w:shd w:val="clear" w:color="auto" w:fill="DCEFFA"/>
          </w:tcPr>
          <w:p>
            <w:r>
              <w:rPr>
                <w:b/>
                <w:color w:val="174C68"/>
              </w:rPr>
              <w:t xml:space="preserve">En curso / activo</w:t>
            </w:r>
          </w:p>
        </w:tc>
      </w:tr>
      <w:tr>
        <w:tc>
          <w:tcPr>
            <w:tcW w:type="dxa" w:w="3000"/>
          </w:tcPr>
          <w:p>
            <w:r>
              <w:t xml:space="preserve">LISTO_PARA_RETIRO</w:t>
            </w:r>
          </w:p>
        </w:tc>
        <w:tc>
          <w:tcPr>
            <w:tcW w:type="dxa" w:w="3540"/>
          </w:tcPr>
          <w:p>
            <w:r>
              <w:t xml:space="preserve">Listo para retirar</w:t>
            </w:r>
          </w:p>
        </w:tc>
        <w:tc>
          <w:tcPr>
            <w:tcW w:type="dxa" w:w="3540"/>
            <w:shd w:val="clear" w:color="auto" w:fill="DDF3E3"/>
          </w:tcPr>
          <w:p>
            <w:r>
              <w:rPr>
                <w:b/>
                <w:color w:val="205C35"/>
              </w:rPr>
              <w:t xml:space="preserve">Completado / aprobado</w:t>
            </w:r>
          </w:p>
        </w:tc>
      </w:tr>
      <w:tr>
        <w:tc>
          <w:tcPr>
            <w:tcW w:type="dxa" w:w="3000"/>
          </w:tcPr>
          <w:p>
            <w:r>
              <w:t xml:space="preserve">DESPACHADO</w:t>
            </w:r>
          </w:p>
        </w:tc>
        <w:tc>
          <w:tcPr>
            <w:tcW w:type="dxa" w:w="3540"/>
          </w:tcPr>
          <w:p>
            <w:r>
              <w:t xml:space="preserve">Despachado</w:t>
            </w:r>
          </w:p>
        </w:tc>
        <w:tc>
          <w:tcPr>
            <w:tcW w:type="dxa" w:w="3540"/>
            <w:shd w:val="clear" w:color="auto" w:fill="DCEFFA"/>
          </w:tcPr>
          <w:p>
            <w:r>
              <w:rPr>
                <w:b/>
                <w:color w:val="174C68"/>
              </w:rPr>
              <w:t xml:space="preserve">En curso / activo</w:t>
            </w:r>
          </w:p>
        </w:tc>
      </w:tr>
      <w:tr>
        <w:tc>
          <w:tcPr>
            <w:tcW w:type="dxa" w:w="3000"/>
          </w:tcPr>
          <w:p>
            <w:r>
              <w:t xml:space="preserve">ENTREGADO</w:t>
            </w:r>
          </w:p>
        </w:tc>
        <w:tc>
          <w:tcPr>
            <w:tcW w:type="dxa" w:w="3540"/>
          </w:tcPr>
          <w:p>
            <w:r>
              <w:t xml:space="preserve">Entregado</w:t>
            </w:r>
          </w:p>
        </w:tc>
        <w:tc>
          <w:tcPr>
            <w:tcW w:type="dxa" w:w="3540"/>
            <w:shd w:val="clear" w:color="auto" w:fill="DDF3E3"/>
          </w:tcPr>
          <w:p>
            <w:r>
              <w:rPr>
                <w:b/>
                <w:color w:val="205C35"/>
              </w:rPr>
              <w:t xml:space="preserve">Completado / aprobado</w:t>
            </w:r>
          </w:p>
        </w:tc>
      </w:tr>
      <w:tr>
        <w:tc>
          <w:tcPr>
            <w:tcW w:type="dxa" w:w="3000"/>
          </w:tcPr>
          <w:p>
            <w:r>
              <w:t xml:space="preserve">CANCELADO</w:t>
            </w:r>
          </w:p>
        </w:tc>
        <w:tc>
          <w:tcPr>
            <w:tcW w:type="dxa" w:w="3540"/>
          </w:tcPr>
          <w:p>
            <w:r>
              <w:t xml:space="preserve">Cancelado</w:t>
            </w:r>
          </w:p>
        </w:tc>
        <w:tc>
          <w:tcPr>
            <w:tcW w:type="dxa" w:w="3540"/>
            <w:shd w:val="clear" w:color="auto" w:fill="FBE4E1"/>
          </w:tcPr>
          <w:p>
            <w:r>
              <w:rPr>
                <w:b/>
                <w:color w:val="8B2922"/>
              </w:rPr>
              <w:t xml:space="preserve">Cancelado / error</w:t>
            </w:r>
          </w:p>
        </w:tc>
      </w:tr>
      <w:tr>
        <w:tc>
          <w:tcPr>
            <w:tcW w:type="dxa" w:w="3000"/>
          </w:tcPr>
          <w:p>
            <w:r>
              <w:t xml:space="preserve">VENCIDO</w:t>
            </w:r>
          </w:p>
        </w:tc>
        <w:tc>
          <w:tcPr>
            <w:tcW w:type="dxa" w:w="3540"/>
          </w:tcPr>
          <w:p>
            <w:r>
              <w:t xml:space="preserve">Reserva vencida</w:t>
            </w:r>
          </w:p>
        </w:tc>
        <w:tc>
          <w:tcPr>
            <w:tcW w:type="dxa" w:w="3540"/>
            <w:shd w:val="clear" w:color="auto" w:fill="E9E9E6"/>
          </w:tcPr>
          <w:p>
            <w:r>
              <w:rPr>
                <w:b/>
                <w:color w:val="55554F"/>
              </w:rPr>
              <w:t xml:space="preserve">Cerrado / reemplazado / neutro</w:t>
            </w:r>
          </w:p>
        </w:tc>
      </w:tr>
    </w:tbl>
    <w:p/>
    <w:p>
      <w:pPr/>
      <w:r>
        <w:t>Pagos: el cliente ve cada intento, también los no aprobados y los que fallaron. Por intento: fecha, medio (online o efectivo), la marca «(SIMULADO)», estado, importe y concepto (seña, saldo o total).</w:t>
      </w:r>
    </w:p>
    <w:tbl>
      <w:tblPr>
        <w:tblStyle w:val="LightShading-Accent1"/>
        <w:tblW w:type="auto" w:w="0"/>
        <w:tblLook w:firstColumn="1" w:firstRow="1" w:lastColumn="0" w:lastRow="0" w:noHBand="0" w:noVBand="1" w:val="04A0"/>
      </w:tblPr>
      <w:tblGrid>
        <w:gridCol w:w="3000"/>
        <w:gridCol w:w="3540"/>
        <w:gridCol w:w="3540"/>
      </w:tblGrid>
      <w:tr>
        <w:tc>
          <w:tcPr>
            <w:tcW w:type="dxa" w:w="3000"/>
          </w:tcPr>
          <w:p>
            <w:r>
              <w:t xml:space="preserve">Estado interno</w:t>
            </w:r>
          </w:p>
        </w:tc>
        <w:tc>
          <w:tcPr>
            <w:tcW w:type="dxa" w:w="3540"/>
          </w:tcPr>
          <w:p>
            <w:r>
              <w:t xml:space="preserve">Texto público</w:t>
            </w:r>
          </w:p>
        </w:tc>
        <w:tc>
          <w:tcPr>
            <w:tcW w:type="dxa" w:w="3540"/>
          </w:tcPr>
          <w:p>
            <w:r>
              <w:t xml:space="preserve">Color</w:t>
            </w:r>
          </w:p>
        </w:tc>
      </w:tr>
      <w:tr>
        <w:tc>
          <w:tcPr>
            <w:tcW w:type="dxa" w:w="3000"/>
          </w:tcPr>
          <w:p>
            <w:r>
              <w:t xml:space="preserve">APROBADO</w:t>
            </w:r>
          </w:p>
        </w:tc>
        <w:tc>
          <w:tcPr>
            <w:tcW w:type="dxa" w:w="3540"/>
          </w:tcPr>
          <w:p>
            <w:r>
              <w:t xml:space="preserve">Pago registrado</w:t>
            </w:r>
          </w:p>
        </w:tc>
        <w:tc>
          <w:tcPr>
            <w:tcW w:type="dxa" w:w="3540"/>
            <w:shd w:val="clear" w:color="auto" w:fill="DDF3E3"/>
          </w:tcPr>
          <w:p>
            <w:r>
              <w:rPr>
                <w:b/>
                <w:color w:val="205C35"/>
              </w:rPr>
              <w:t xml:space="preserve">Completado / aprobado</w:t>
            </w:r>
          </w:p>
        </w:tc>
      </w:tr>
      <w:tr>
        <w:tc>
          <w:tcPr>
            <w:tcW w:type="dxa" w:w="3000"/>
          </w:tcPr>
          <w:p>
            <w:r>
              <w:t xml:space="preserve">RECHAZADO</w:t>
            </w:r>
          </w:p>
        </w:tc>
        <w:tc>
          <w:tcPr>
            <w:tcW w:type="dxa" w:w="3540"/>
          </w:tcPr>
          <w:p>
            <w:r>
              <w:t xml:space="preserve">Pago no aprobado</w:t>
            </w:r>
          </w:p>
        </w:tc>
        <w:tc>
          <w:tcPr>
            <w:tcW w:type="dxa" w:w="3540"/>
            <w:shd w:val="clear" w:color="auto" w:fill="FBE4E1"/>
          </w:tcPr>
          <w:p>
            <w:r>
              <w:rPr>
                <w:b/>
                <w:color w:val="8B2922"/>
              </w:rPr>
              <w:t xml:space="preserve">Cancelado / error</w:t>
            </w:r>
          </w:p>
        </w:tc>
      </w:tr>
      <w:tr>
        <w:tc>
          <w:tcPr>
            <w:tcW w:type="dxa" w:w="3000"/>
          </w:tcPr>
          <w:p>
            <w:r>
              <w:t xml:space="preserve">ERROR</w:t>
            </w:r>
          </w:p>
        </w:tc>
        <w:tc>
          <w:tcPr>
            <w:tcW w:type="dxa" w:w="3540"/>
          </w:tcPr>
          <w:p>
            <w:r>
              <w:t xml:space="preserve">No se pudo procesar el pago</w:t>
            </w:r>
          </w:p>
        </w:tc>
        <w:tc>
          <w:tcPr>
            <w:tcW w:type="dxa" w:w="3540"/>
            <w:shd w:val="clear" w:color="auto" w:fill="FBE4E1"/>
          </w:tcPr>
          <w:p>
            <w:r>
              <w:rPr>
                <w:b/>
                <w:color w:val="8B2922"/>
              </w:rPr>
              <w:t xml:space="preserve">Cancelado / error</w:t>
            </w:r>
          </w:p>
        </w:tc>
      </w:tr>
    </w:tbl>
    <w:p/>
    <w:p>
      <w:pPr/>
      <w:r>
        <w:t>Información de pago que ya se muestra y se conserva:</w:t>
      </w:r>
    </w:p>
    <w:p>
      <w:pPr>
        <w:pStyle w:val="ListBullet"/>
      </w:pPr>
      <w:r>
        <w:t>Pedido pendiente de pago: plazo para completarlo y el pago simulado.</w:t>
      </w:r>
    </w:p>
    <w:p>
      <w:pPr>
        <w:pStyle w:val="ListBullet"/>
      </w:pPr>
      <w:r>
        <w:t>Reserva en efectivo: plazo, email y teléfono de la tienda.</w:t>
      </w:r>
    </w:p>
    <w:p>
      <w:pPr>
        <w:pStyle w:val="ListBullet"/>
      </w:pPr>
      <w:r>
        <w:t>Personalizado pendiente de pago: «Seña a pagar» y su importe.</w:t>
      </w:r>
    </w:p>
    <w:p>
      <w:pPr>
        <w:pStyle w:val="ListBullet"/>
      </w:pPr>
      <w:r>
        <w:t>Personalizado confirmado: «Saldo pendiente», importe y cómo y cuándo pagarlo (antes del despacho con envío; online o al retirar con retiro). Con saldo cero, no se muestra.</w:t>
      </w:r>
    </w:p>
    <w:p>
      <w:pPr>
        <w:pStyle w:val="ListBullet"/>
      </w:pPr>
      <w:r>
        <w:t>Totales: descuento del cupón, envío y total.</w:t>
      </w:r>
    </w:p>
    <w:p>
      <w:pPr>
        <w:pStyle w:val="ListBullet"/>
      </w:pPr>
      <w:r>
        <w:t>Pedido cancelado: desglose con la regla aplicada, total pagado, cargo y monto a devolver.</w:t>
      </w:r>
    </w:p>
    <w:p>
      <w:pPr/>
      <w:r>
        <w:t>Los estados del reembolso y del cargo son solo administrativos: el cliente no los ve y se entera por los avisos existentes, dentro del sitio y por correo.</w:t>
      </w:r>
    </w:p>
    <w:p>
      <w:pPr/>
      <w:r>
        <w:t>Cupones: en «Mis cupones», código, monto, estado y fecha de vencimiento. El cliente no ve en qué pedido usó el cupón ni el motivo de una anulación.</w:t>
      </w:r>
    </w:p>
    <w:tbl>
      <w:tblPr>
        <w:tblStyle w:val="LightShading-Accent1"/>
        <w:tblW w:type="auto" w:w="0"/>
        <w:tblLook w:firstColumn="1" w:firstRow="1" w:lastColumn="0" w:lastRow="0" w:noHBand="0" w:noVBand="1" w:val="04A0"/>
      </w:tblPr>
      <w:tblGrid>
        <w:gridCol w:w="3000"/>
        <w:gridCol w:w="3540"/>
        <w:gridCol w:w="3540"/>
      </w:tblGrid>
      <w:tr>
        <w:tc>
          <w:tcPr>
            <w:tcW w:type="dxa" w:w="3000"/>
          </w:tcPr>
          <w:p>
            <w:r>
              <w:t xml:space="preserve">Estado interno</w:t>
            </w:r>
          </w:p>
        </w:tc>
        <w:tc>
          <w:tcPr>
            <w:tcW w:type="dxa" w:w="3540"/>
          </w:tcPr>
          <w:p>
            <w:r>
              <w:t xml:space="preserve">Texto público</w:t>
            </w:r>
          </w:p>
        </w:tc>
        <w:tc>
          <w:tcPr>
            <w:tcW w:type="dxa" w:w="3540"/>
          </w:tcPr>
          <w:p>
            <w:r>
              <w:t xml:space="preserve">Color</w:t>
            </w:r>
          </w:p>
        </w:tc>
      </w:tr>
      <w:tr>
        <w:tc>
          <w:tcPr>
            <w:tcW w:type="dxa" w:w="3000"/>
          </w:tcPr>
          <w:p>
            <w:r>
              <w:t xml:space="preserve">ACTIVO</w:t>
            </w:r>
          </w:p>
        </w:tc>
        <w:tc>
          <w:tcPr>
            <w:tcW w:type="dxa" w:w="3540"/>
          </w:tcPr>
          <w:p>
            <w:r>
              <w:t xml:space="preserve">Disponible</w:t>
            </w:r>
          </w:p>
        </w:tc>
        <w:tc>
          <w:tcPr>
            <w:tcW w:type="dxa" w:w="3540"/>
            <w:shd w:val="clear" w:color="auto" w:fill="DDF3E3"/>
          </w:tcPr>
          <w:p>
            <w:r>
              <w:rPr>
                <w:b/>
                <w:color w:val="205C35"/>
              </w:rPr>
              <w:t xml:space="preserve">Completado / aprobado</w:t>
            </w:r>
          </w:p>
        </w:tc>
      </w:tr>
      <w:tr>
        <w:tc>
          <w:tcPr>
            <w:tcW w:type="dxa" w:w="3000"/>
          </w:tcPr>
          <w:p>
            <w:r>
              <w:t xml:space="preserve">USADO</w:t>
            </w:r>
          </w:p>
        </w:tc>
        <w:tc>
          <w:tcPr>
            <w:tcW w:type="dxa" w:w="3540"/>
          </w:tcPr>
          <w:p>
            <w:r>
              <w:t xml:space="preserve">Usado</w:t>
            </w:r>
          </w:p>
        </w:tc>
        <w:tc>
          <w:tcPr>
            <w:tcW w:type="dxa" w:w="3540"/>
            <w:shd w:val="clear" w:color="auto" w:fill="E9E9E6"/>
          </w:tcPr>
          <w:p>
            <w:r>
              <w:rPr>
                <w:b/>
                <w:color w:val="55554F"/>
              </w:rPr>
              <w:t xml:space="preserve">Cerrado / reemplazado / neutro</w:t>
            </w:r>
          </w:p>
        </w:tc>
      </w:tr>
      <w:tr>
        <w:tc>
          <w:tcPr>
            <w:tcW w:type="dxa" w:w="3000"/>
          </w:tcPr>
          <w:p>
            <w:r>
              <w:t xml:space="preserve">VENCIDO</w:t>
            </w:r>
          </w:p>
        </w:tc>
        <w:tc>
          <w:tcPr>
            <w:tcW w:type="dxa" w:w="3540"/>
          </w:tcPr>
          <w:p>
            <w:r>
              <w:t xml:space="preserve">Vencido</w:t>
            </w:r>
          </w:p>
        </w:tc>
        <w:tc>
          <w:tcPr>
            <w:tcW w:type="dxa" w:w="3540"/>
            <w:shd w:val="clear" w:color="auto" w:fill="E9E9E6"/>
          </w:tcPr>
          <w:p>
            <w:r>
              <w:rPr>
                <w:b/>
                <w:color w:val="55554F"/>
              </w:rPr>
              <w:t xml:space="preserve">Cerrado / reemplazado / neutro</w:t>
            </w:r>
          </w:p>
        </w:tc>
      </w:tr>
      <w:tr>
        <w:tc>
          <w:tcPr>
            <w:tcW w:type="dxa" w:w="3000"/>
          </w:tcPr>
          <w:p>
            <w:r>
              <w:t xml:space="preserve">ANULADO</w:t>
            </w:r>
          </w:p>
        </w:tc>
        <w:tc>
          <w:tcPr>
            <w:tcW w:type="dxa" w:w="3540"/>
          </w:tcPr>
          <w:p>
            <w:r>
              <w:t xml:space="preserve">Anulado</w:t>
            </w:r>
          </w:p>
        </w:tc>
        <w:tc>
          <w:tcPr>
            <w:tcW w:type="dxa" w:w="3540"/>
            <w:shd w:val="clear" w:color="auto" w:fill="FBE4E1"/>
          </w:tcPr>
          <w:p>
            <w:r>
              <w:rPr>
                <w:b/>
                <w:color w:val="8B2922"/>
              </w:rPr>
              <w:t xml:space="preserve">Cancelado / error</w:t>
            </w:r>
          </w:p>
        </w:tc>
      </w:tr>
    </w:tbl>
    <w:p/>
    <w:p>
      <w:pPr/>
      <w:r>
        <w:t>Se conservan los comportamientos actuales del cupón: ingreso del código en el checkout con el descuento o el error de cupón inválido; campo opcional al aceptar la cotización de un personalizado, con la vista previa del descuento y de la seña; descuento ya aplicado al responder la cotización del envío; línea «Cupón: −$…» en el pedido; y aviso de emisión con el código, dentro del sitio y por correo.</w:t>
      </w:r>
    </w:p>
    <w:p>
      <w:pPr/>
      <w:r>
        <w:t>Diseños (solo en personalizados):</w:t>
      </w:r>
    </w:p>
    <w:tbl>
      <w:tblPr>
        <w:tblStyle w:val="LightShading-Accent1"/>
        <w:tblW w:type="auto" w:w="0"/>
        <w:tblLook w:firstColumn="1" w:firstRow="1" w:lastColumn="0" w:lastRow="0" w:noHBand="0" w:noVBand="1" w:val="04A0"/>
      </w:tblPr>
      <w:tblGrid>
        <w:gridCol w:w="3000"/>
        <w:gridCol w:w="3540"/>
        <w:gridCol w:w="3540"/>
      </w:tblGrid>
      <w:tr>
        <w:tc>
          <w:tcPr>
            <w:tcW w:type="dxa" w:w="3000"/>
          </w:tcPr>
          <w:p>
            <w:r>
              <w:t xml:space="preserve">Estado interno</w:t>
            </w:r>
          </w:p>
        </w:tc>
        <w:tc>
          <w:tcPr>
            <w:tcW w:type="dxa" w:w="3540"/>
          </w:tcPr>
          <w:p>
            <w:r>
              <w:t xml:space="preserve">Texto público</w:t>
            </w:r>
          </w:p>
        </w:tc>
        <w:tc>
          <w:tcPr>
            <w:tcW w:type="dxa" w:w="3540"/>
          </w:tcPr>
          <w:p>
            <w:r>
              <w:t xml:space="preserve">Color</w:t>
            </w:r>
          </w:p>
        </w:tc>
      </w:tr>
      <w:tr>
        <w:tc>
          <w:tcPr>
            <w:tcW w:type="dxa" w:w="3000"/>
          </w:tcPr>
          <w:p>
            <w:r>
              <w:t xml:space="preserve">SIN_PROPUESTA</w:t>
            </w:r>
          </w:p>
        </w:tc>
        <w:tc>
          <w:tcPr>
            <w:tcW w:type="dxa" w:w="3540"/>
          </w:tcPr>
          <w:p>
            <w:r>
              <w:t xml:space="preserve">Estamos preparando tu diseño</w:t>
            </w:r>
          </w:p>
        </w:tc>
        <w:tc>
          <w:tcPr>
            <w:tcW w:type="dxa" w:w="3540"/>
            <w:shd w:val="clear" w:color="auto" w:fill="FFF1C2"/>
          </w:tcPr>
          <w:p>
            <w:r>
              <w:rPr>
                <w:b/>
                <w:color w:val="704F00"/>
              </w:rPr>
              <w:t xml:space="preserve">Espera / pendiente</w:t>
            </w:r>
          </w:p>
        </w:tc>
      </w:tr>
      <w:tr>
        <w:tc>
          <w:tcPr>
            <w:tcW w:type="dxa" w:w="3000"/>
          </w:tcPr>
          <w:p>
            <w:r>
              <w:t xml:space="preserve">PENDIENTE_APROBACION</w:t>
            </w:r>
          </w:p>
        </w:tc>
        <w:tc>
          <w:tcPr>
            <w:tcW w:type="dxa" w:w="3540"/>
          </w:tcPr>
          <w:p>
            <w:r>
              <w:t xml:space="preserve">Esperando tu aprobación</w:t>
            </w:r>
          </w:p>
        </w:tc>
        <w:tc>
          <w:tcPr>
            <w:tcW w:type="dxa" w:w="3540"/>
            <w:shd w:val="clear" w:color="auto" w:fill="FFF1C2"/>
          </w:tcPr>
          <w:p>
            <w:r>
              <w:rPr>
                <w:b/>
                <w:color w:val="704F00"/>
              </w:rPr>
              <w:t xml:space="preserve">Espera / pendiente</w:t>
            </w:r>
          </w:p>
        </w:tc>
      </w:tr>
      <w:tr>
        <w:tc>
          <w:tcPr>
            <w:tcW w:type="dxa" w:w="3000"/>
          </w:tcPr>
          <w:p>
            <w:r>
              <w:t xml:space="preserve">CAMBIOS_SOLICITADOS</w:t>
            </w:r>
          </w:p>
        </w:tc>
        <w:tc>
          <w:tcPr>
            <w:tcW w:type="dxa" w:w="3540"/>
          </w:tcPr>
          <w:p>
            <w:r>
              <w:t xml:space="preserve">Estamos realizando los cambios que pediste</w:t>
            </w:r>
          </w:p>
        </w:tc>
        <w:tc>
          <w:tcPr>
            <w:tcW w:type="dxa" w:w="3540"/>
            <w:shd w:val="clear" w:color="auto" w:fill="FFF1C2"/>
          </w:tcPr>
          <w:p>
            <w:r>
              <w:rPr>
                <w:b/>
                <w:color w:val="704F00"/>
              </w:rPr>
              <w:t xml:space="preserve">Espera / pendiente</w:t>
            </w:r>
          </w:p>
        </w:tc>
      </w:tr>
      <w:tr>
        <w:tc>
          <w:tcPr>
            <w:tcW w:type="dxa" w:w="3000"/>
          </w:tcPr>
          <w:p>
            <w:r>
              <w:t xml:space="preserve">APROBADO</w:t>
            </w:r>
          </w:p>
        </w:tc>
        <w:tc>
          <w:tcPr>
            <w:tcW w:type="dxa" w:w="3540"/>
          </w:tcPr>
          <w:p>
            <w:r>
              <w:t xml:space="preserve">Diseño aprobado</w:t>
            </w:r>
          </w:p>
        </w:tc>
        <w:tc>
          <w:tcPr>
            <w:tcW w:type="dxa" w:w="3540"/>
            <w:shd w:val="clear" w:color="auto" w:fill="DDF3E3"/>
          </w:tcPr>
          <w:p>
            <w:r>
              <w:rPr>
                <w:b/>
                <w:color w:val="205C35"/>
              </w:rPr>
              <w:t xml:space="preserve">Completado / aprobado</w:t>
            </w:r>
          </w:p>
        </w:tc>
      </w:tr>
    </w:tbl>
    <w:p/>
    <w:p>
      <w:pPr/>
      <w:r>
        <w:t>Por cada ítem se conserva: estado del diseño, historial de versiones (número, fecha, vigente o superada, fecha de aprobación, nota de la tienda, archivos con URL firmada y cambios pedidos), las acciones de aprobar o pedir cambios cuando hay una versión vigente pendiente, y los avisos de versión nueva, también con el pedido en producción.</w:t>
      </w:r>
    </w:p>
    <w:p>
      <w:pPr/>
      <w:r>
        <w:t>Reembolsos, cargos y cotizaciones: los estados de reembolsos y cargos no se muestran al cliente. Las cotizaciones no se muestran como etiquetas de estado sino como propuestas con las acciones para responder; una cotización reemplazada no se presenta como una propuesta que se pueda aceptar.</w:t>
      </w:r>
    </w:p>
    <w:p>
      <w:pPr>
        <w:pStyle w:val="Heading2"/>
      </w:pPr>
      <w:r>
        <w:t>12.4 Mejoras de presentación</w:t>
      </w:r>
    </w:p>
    <w:p>
      <w:pPr/>
      <w:r>
        <w:t>Cambios solo de interfaz sobre datos que ya existen. No agregan estados, reglas ni avisos.</w:t>
      </w:r>
    </w:p>
    <w:p>
      <w:pPr>
        <w:pStyle w:val="ListBullet"/>
      </w:pPr>
      <w:r>
        <w:t>Diferenciar visualmente los intentos de pago no aprobados o fallidos de los pagos registrados, sin ocultarlos.</w:t>
      </w:r>
    </w:p>
    <w:p>
      <w:pPr>
        <w:pStyle w:val="ListBullet"/>
      </w:pPr>
      <w:r>
        <w:t>Mostrar el concepto de cada pago (seña, saldo o total): el dato ya se guarda en cada pago.</w:t>
      </w:r>
    </w:p>
    <w:p>
      <w:pPr>
        <w:pStyle w:val="ListBullet"/>
      </w:pPr>
      <w:r>
        <w:t>Textos de los estados de diseño según el rol: hoy el componente compartido muestra al cliente textos del administrador («Esperando la aprobación del cliente», «El cliente pidió cambios»). El cliente debe ver los textos de 12.3 y el administrador conserva los suyos.</w:t>
      </w:r>
    </w:p>
    <w:p>
      <w:pPr/>
      <w:r>
        <w:t>Fuera de esta versión: seguimiento público de reembolsos, visibilidad pública de cargos, estados o transiciones nuevos, cambios en las reglas de negocio y cambios en los avisos.</w:t>
      </w:r>
    </w:p>
    <w:p>
      <w:pPr>
        <w:pStyle w:val="Heading1"/>
      </w:pPr>
      <w:r>
        <w:t>13. Decisiones y definiciones pendientes</w:t>
      </w:r>
    </w:p>
    <w:p>
      <w:r>
        <w:t>Pendiente de validar contra la especificación funcional y el código actual: nombres exactos de rutas y componentes, datos reales disponibles, métodos configurados de entrega/pago, estados efectivos, disponibilidad de fuentes y librerías de iconos. Este documento no sustituye esa validación. Los puntos siguientes provienen de la auditoría de preparación visual. Ninguno está aprobado: hasta que se definan, no se completan con datos, textos, recursos ni funcionalidades inventados.</w:t>
      </w:r>
    </w:p>
    <w:p>
      <w:pPr>
        <w:pStyle w:val="Heading2"/>
      </w:pPr>
      <w:r>
        <w:t>13.1 Identidad visual</w:t>
      </w:r>
    </w:p>
    <w:p>
      <w:pPr>
        <w:pStyle w:val="ListBullet"/>
      </w:pPr>
      <w:r>
        <w:t>F3 · Marca compacta: definir y producir una marca compacta realmente distinta del logo principal; hoy INK_logo_compacto.svg es idéntico a INK_logo_principal.svg. La necesita la barra lateral colapsada.</w:t>
      </w:r>
    </w:p>
    <w:p>
      <w:pPr>
        <w:pStyle w:val="ListBullet"/>
      </w:pPr>
      <w:r>
        <w:t>F4 · Lettering en contornos: preparar las variantes SVG con la tipografía convertida a contornos, para que el logo se vea igual en cualquier equipo.</w:t>
      </w:r>
    </w:p>
    <w:p>
      <w:pPr>
        <w:pStyle w:val="ListBullet"/>
      </w:pPr>
      <w:r>
        <w:t>F12 · Logo horizontal: corregir proporciones y espacio vacío del lienzo, y unificar el lettering con el principal (itálica). Evaluar una variante horizontal monocromática para fondos claros.</w:t>
      </w:r>
    </w:p>
    <w:p>
      <w:pPr>
        <w:pStyle w:val="Heading2"/>
      </w:pPr>
      <w:r>
        <w:t>13.2 Contenido de la tienda</w:t>
      </w:r>
    </w:p>
    <w:p>
      <w:pPr>
        <w:pStyle w:val="ListBullet"/>
      </w:pPr>
      <w:r>
        <w:t>F5 · Inicio: definir fotografía del hero, imágenes o tratamiento de las categorías, criterio de productos destacados y textos de beneficios respaldados por el negocio.</w:t>
      </w:r>
    </w:p>
    <w:p>
      <w:pPr>
        <w:pStyle w:val="ListBullet"/>
      </w:pPr>
      <w:r>
        <w:t>F9 · Funcionalidades mencionadas que no existen en el sistema: ordenamiento del catálogo; búsqueda por número y filtros en Mis pedidos; comprobantes en el detalle del pedido (previstos en INC-12); Deshacer al quitar un producto del carrito; ingreso del cupón en el carrito. Mientras no se decida incorporarlas, el diseño no las muestra.</w:t>
      </w:r>
    </w:p>
    <w:p>
      <w:pPr>
        <w:pStyle w:val="Heading2"/>
      </w:pPr>
      <w:r>
        <w:t>13.3 Estados y componentes</w:t>
      </w:r>
    </w:p>
    <w:p>
      <w:pPr>
        <w:pStyle w:val="ListBullet"/>
      </w:pPr>
      <w:r>
        <w:t>F6 · Colores de estado: resuelto en la versión 1.2 (sección 12). Pendiente: asignar familia a los estados de los cargos (REGISTRADO, PENDIENTE_ARREGLO, COBRADO, CONDONADO, INCOBRABLE), que no se definieron, y a los estados de correos, archivos y productos si se decide mostrarlos con etiqueta.</w:t>
      </w:r>
    </w:p>
    <w:p>
      <w:pPr>
        <w:pStyle w:val="ListBullet"/>
      </w:pPr>
      <w:r>
        <w:t>F7 · Estados de la tienda pública: resuelto en la versión 1.2 (sección 12.3).</w:t>
      </w:r>
    </w:p>
    <w:p>
      <w:pPr>
        <w:pStyle w:val="ListBullet"/>
      </w:pPr>
      <w:r>
        <w:t>F10 · Iconografía: el proyecto no usa librería de iconos. Definir un criterio uniforme: iconos SVG propios o incorporar una librería, justificando la dependencia.</w:t>
      </w:r>
    </w:p>
    <w:p>
      <w:pPr>
        <w:pStyle w:val="ListBullet"/>
      </w:pPr>
      <w:r>
        <w:t>F11 · Contraste: pendiente ajustar el texto secundario (#9CA3AF, 4,02:1 sobre #42413E), fijar el texto principal del panel y verificar 3:1 en bordes de campos y controles, que #5B5954 no alcanza (1,46:1 sobre #42413E). Los colores de estado de la versión 1.2 cumplen 4,5:1; la observación sobre Completado #43845A quedó sin efecto porque esa paleta fue reemplazada.</w:t>
      </w:r>
    </w:p>
    <w:p>
      <w:pPr>
        <w:pStyle w:val="Heading2"/>
      </w:pPr>
      <w:r>
        <w:t>13.4 Pantallas</w:t>
      </w:r>
    </w:p>
    <w:p>
      <w:pPr>
        <w:pStyle w:val="ListBullet"/>
      </w:pPr>
      <w:r>
        <w:t>F8 · Detalle del pedido: diseñar antes de implementar dos pantallas distintas. La del cliente: respuesta a la cotización y al envío, seña y saldo, diseños y su aprobación, cancelación con vista previa. La administrativa: operación completa (cotizaciones, reservas, pagos, diseños, producción, fecha comprometida, cancelación, cargos y reembolsos).</w:t>
      </w:r>
    </w:p>
    <w:p>
      <w:pPr>
        <w:pStyle w:val="Heading2"/>
      </w:pPr>
      <w:r>
        <w:t>13.5 Responsive y documentación</w:t>
      </w:r>
    </w:p>
    <w:p>
      <w:pPr>
        <w:pStyle w:val="ListBullet"/>
      </w:pPr>
      <w:r>
        <w:t>F13 · Tokens: definir escala tipográfica, espaciado, radios, sombras y puntos de corte.</w:t>
      </w:r>
    </w:p>
    <w:p>
      <w:pPr>
        <w:pStyle w:val="ListBullet"/>
      </w:pPr>
      <w:r>
        <w:t>F14 · TV y pantallas grandes: definir ancho máximo del contenido, escala de texto y tamaño de controles.</w:t>
      </w:r>
    </w:p>
    <w:p>
      <w:pPr>
        <w:pStyle w:val="ListBullet"/>
      </w:pPr>
      <w:r>
        <w:t>F15 · Pie de página: solo destinos reales. Hoy existen /contacto, /productos, /carrito, /cuenta, /pedidos, /cupones, /ingresar y /registrarse; no hay páginas legales ni redes sociales definidas.</w:t>
      </w:r>
    </w:p>
    <w:p>
      <w:pPr>
        <w:pStyle w:val="ListBullet"/>
      </w:pPr>
      <w:r>
        <w:t>F16 · PDF: el PDF es una versión resumida de este DOCX y así se identifica en su nombre y portada.</w:t>
      </w:r>
    </w:p>
    <w:p>
      <w:pPr>
        <w:pStyle w:val="ListBullet"/>
      </w:pPr>
      <w:r>
        <w:t>Texto de VENCIDO: el texto público aprobado es «Reserva vencida», pero el estado VENCIDO también corresponde a un pago online no completado a tiempo (RN-22) y a una seña de personalizado no pagada (RN-17). Pendiente decidir si se mantiene un único texto o se adapta según el caso, que se puede deducir del motivo del historial.</w:t>
      </w:r>
    </w:p>
    <w:p>
      <w:pPr>
        <w:pStyle w:val="Heading1"/>
      </w:pPr>
      <w:r>
        <w:t>14. Checklist de aceptación visual</w:t>
      </w:r>
    </w:p>
    <w:p>
      <w:r>
        <w:t>☐ La tienda pública usa #E3E8EF como fondo principal.</w:t>
      </w:r>
    </w:p>
    <w:p>
      <w:r>
        <w:t>☐ La navegación pública mantiene barra negra y logo/acentos amarillos.</w:t>
      </w:r>
    </w:p>
    <w:p>
      <w:r>
        <w:t>☐ Las tarjetas públicas son blancas y priorizan las fotografías.</w:t>
      </w:r>
    </w:p>
    <w:p>
      <w:r>
        <w:t>☐ El panel administrativo usa el tema oscuro (#343331, #42413E, barra lateral #1C1B1B), incluidas la barra lateral y Fechas excluidas.</w:t>
      </w:r>
    </w:p>
    <w:p>
      <w:r>
        <w:t>☐ Botones, campos, badges, tablas y notificaciones comparten reglas consistentes.</w:t>
      </w:r>
    </w:p>
    <w:p>
      <w:pPr/>
      <w:r>
        <w:t>☐ Los estados usan la matriz de la sección 12: misma familia en todos los módulos, color acompañado de texto y textos públicos de 12.3 para el cliente.</w:t>
      </w:r>
    </w:p>
    <w:p>
      <w:r>
        <w:t>☐ Las vistas móvil, tablet, escritorio y TV conservan jerarquía y usabilidad.</w:t>
      </w:r>
    </w:p>
    <w:p>
      <w:r>
        <w:t>☐ No se inventaron datos ni funcionalidades para completar el diseño.</w:t>
      </w:r>
    </w:p>
    <w:p>
      <w:r>
        <w:t>☐ Los cambios visuales no alteran reglas de negocio.</w:t>
      </w:r>
    </w:p>
    <w:p>
      <w:pPr/>
      <w:r>
        <w:t>☐ El checkout no ofrece compra como invitado: comprar requiere cuenta (RN-25).</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C1B1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1B1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1B1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C1B1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1B1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INK · Documento Maestro de Diseño Visual · v1.2</dc:title>
  <dc:subject/>
  <dc:creator>python-docx</dc:creator>
  <cp:keywords/>
  <dc:description>generated by python-docx</dc:description>
  <cp:lastModifiedBy/>
  <cp:revision>3</cp:revision>
  <dcterms:created xsi:type="dcterms:W3CDTF">2013-12-23T23:15:00Z</dcterms:created>
  <dcterms:modified xsi:type="dcterms:W3CDTF">2026-10-30T15:00:00Z</dcterms:modified>
  <cp:category/>
</cp:coreProperties>
</file>