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985D9" w14:textId="51C4FD1B" w:rsidR="006E460E" w:rsidRDefault="006E460E" w:rsidP="006E460E">
      <w:pPr>
        <w:rPr>
          <w:lang w:val="es-ES"/>
        </w:rPr>
      </w:pPr>
      <w:r>
        <w:rPr>
          <w:lang w:val="es-ES"/>
        </w:rPr>
        <w:t>Curva de rendimientos BONOS:</w:t>
      </w:r>
    </w:p>
    <w:p w14:paraId="706BC751" w14:textId="77777777" w:rsidR="006E460E" w:rsidRDefault="006E460E" w:rsidP="006E460E">
      <w:pPr>
        <w:rPr>
          <w:lang w:val="es-ES"/>
        </w:rPr>
      </w:pPr>
    </w:p>
    <w:p w14:paraId="65810AD7" w14:textId="312537C5" w:rsidR="006E460E" w:rsidRDefault="006E460E" w:rsidP="006E460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B1B81CA" wp14:editId="7A0AFA76">
            <wp:extent cx="5400040" cy="2609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947F8" w14:textId="4FFAC849" w:rsidR="00982A34" w:rsidRDefault="00982A34" w:rsidP="006E460E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8963DC3" wp14:editId="51AF5FCB">
            <wp:extent cx="5400040" cy="2514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31662" w14:textId="58B3E391" w:rsidR="006E460E" w:rsidRDefault="006E460E" w:rsidP="006E460E">
      <w:pPr>
        <w:rPr>
          <w:b/>
          <w:bCs/>
          <w:lang w:val="es-ES"/>
        </w:rPr>
      </w:pPr>
      <w:r w:rsidRPr="006E460E">
        <w:rPr>
          <w:b/>
          <w:bCs/>
          <w:lang w:val="es-ES"/>
        </w:rPr>
        <w:t>Se compraría TX</w:t>
      </w:r>
      <w:proofErr w:type="gramStart"/>
      <w:r w:rsidRPr="006E460E">
        <w:rPr>
          <w:b/>
          <w:bCs/>
          <w:lang w:val="es-ES"/>
        </w:rPr>
        <w:t>28 ;</w:t>
      </w:r>
      <w:proofErr w:type="gramEnd"/>
      <w:r w:rsidRPr="006E460E">
        <w:rPr>
          <w:b/>
          <w:bCs/>
          <w:lang w:val="es-ES"/>
        </w:rPr>
        <w:t xml:space="preserve"> DICP y </w:t>
      </w:r>
      <w:r w:rsidR="00982A34">
        <w:rPr>
          <w:b/>
          <w:bCs/>
          <w:lang w:val="es-ES"/>
        </w:rPr>
        <w:t>AL30</w:t>
      </w:r>
    </w:p>
    <w:p w14:paraId="7EC41CC5" w14:textId="5FEB2482" w:rsidR="006E460E" w:rsidRDefault="00982A34" w:rsidP="006E460E">
      <w:pPr>
        <w:rPr>
          <w:lang w:val="es-ES"/>
        </w:rPr>
      </w:pPr>
      <w:r>
        <w:rPr>
          <w:lang w:val="es-ES"/>
        </w:rPr>
        <w:t>Para el caso de TX28 y DICP s</w:t>
      </w:r>
      <w:r w:rsidR="006E460E">
        <w:rPr>
          <w:lang w:val="es-ES"/>
        </w:rPr>
        <w:t xml:space="preserve">i el bono se encuentra por encima de la curva de rendimiento de bonos, lo lógico es que la TIR del instrumento financiero baje hasta llegar a un punto de equilibrio por el propio arbitraje que realizaría el mercado, </w:t>
      </w:r>
      <w:r w:rsidR="006E460E" w:rsidRPr="006E460E">
        <w:rPr>
          <w:b/>
          <w:bCs/>
          <w:i/>
          <w:iCs/>
          <w:lang w:val="es-ES"/>
        </w:rPr>
        <w:t xml:space="preserve">lo que nos puede representar una ganancia en términos del aumento que tendría su precio, </w:t>
      </w:r>
      <w:r w:rsidR="006E460E">
        <w:rPr>
          <w:lang w:val="es-ES"/>
        </w:rPr>
        <w:t xml:space="preserve">el cual puede ser medido por la DM, aunque debemos tener en cuenta que el valor calculado por este método es aproximado. Además, debemos tener en cuenta que los bonos CER </w:t>
      </w:r>
      <w:r w:rsidR="006E460E" w:rsidRPr="006E460E">
        <w:rPr>
          <w:lang w:val="es-ES"/>
        </w:rPr>
        <w:t>representan una buena alternativa para cubrirse de la inflación</w:t>
      </w:r>
      <w:r w:rsidR="006E460E">
        <w:rPr>
          <w:lang w:val="es-ES"/>
        </w:rPr>
        <w:t xml:space="preserve"> (</w:t>
      </w:r>
      <w:r w:rsidR="006E460E" w:rsidRPr="006E460E">
        <w:rPr>
          <w:lang w:val="es-ES"/>
        </w:rPr>
        <w:t>pagan una prima sobre la variación de precios más una tasa de interés fija adicional</w:t>
      </w:r>
      <w:r w:rsidR="006E460E">
        <w:rPr>
          <w:lang w:val="es-ES"/>
        </w:rPr>
        <w:t>, la cual, debido a las expectativas en torno a las elecciones, riesgo país, cepo cambiario y demás acuerdos con el estado pendientes, no dan indicios que el nivel de precios fuera a disminuir su crecimiento constante.</w:t>
      </w:r>
      <w:r>
        <w:rPr>
          <w:lang w:val="es-ES"/>
        </w:rPr>
        <w:t xml:space="preserve"> Teniendo en cuenta este escenario que se plantea de gran incertidumbre no se puede negar que la desconfianza se trasladó históricamente a el movimiento del dólar, por lo que sumamos a esta estrategia la compra de AL30 para contemplar “una suba del dólar” que en realidad está dada por la depreciación de la moneda local, en este caso, el peso.</w:t>
      </w:r>
      <w:r w:rsidR="006E460E">
        <w:rPr>
          <w:lang w:val="es-ES"/>
        </w:rPr>
        <w:t xml:space="preserve"> </w:t>
      </w:r>
      <w:r w:rsidR="00CE2477">
        <w:rPr>
          <w:lang w:val="es-ES"/>
        </w:rPr>
        <w:t xml:space="preserve">De esta forma ante un escenario de incertidumbre, tanto la </w:t>
      </w:r>
      <w:r w:rsidR="00CE2477">
        <w:rPr>
          <w:lang w:val="es-ES"/>
        </w:rPr>
        <w:lastRenderedPageBreak/>
        <w:t>depreciación de la moneda como la suba de precios tendrían un impacto “positivo” en nuestras inversiones.</w:t>
      </w:r>
      <w:r w:rsidR="006E460E">
        <w:rPr>
          <w:lang w:val="es-ES"/>
        </w:rPr>
        <w:t xml:space="preserve"> Por </w:t>
      </w:r>
      <w:r w:rsidR="008D0173">
        <w:rPr>
          <w:lang w:val="es-ES"/>
        </w:rPr>
        <w:t>último,</w:t>
      </w:r>
      <w:r w:rsidR="006E460E">
        <w:rPr>
          <w:lang w:val="es-ES"/>
        </w:rPr>
        <w:t xml:space="preserve"> resaltamos la liquidez en estos instrumentos debido a la gran emisión monetaria lo que permiten un spread “corto”</w:t>
      </w:r>
      <w:r w:rsidR="00CE2477">
        <w:rPr>
          <w:lang w:val="es-ES"/>
        </w:rPr>
        <w:t>, en el caso de TX28 y DICP, y sumar el detalle de que AL30 se utiliza para realizar dólar MEP.</w:t>
      </w:r>
    </w:p>
    <w:p w14:paraId="00D57160" w14:textId="7486D41B" w:rsidR="006E460E" w:rsidRDefault="008D0173" w:rsidP="006E460E">
      <w:pPr>
        <w:rPr>
          <w:lang w:val="es-ES"/>
        </w:rPr>
      </w:pPr>
      <w:r>
        <w:rPr>
          <w:lang w:val="es-ES"/>
        </w:rPr>
        <w:t>Datos:</w:t>
      </w:r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1420"/>
        <w:gridCol w:w="1420"/>
        <w:gridCol w:w="1420"/>
      </w:tblGrid>
      <w:tr w:rsidR="008D0173" w:rsidRPr="008D0173" w14:paraId="0F4BBBAA" w14:textId="77777777" w:rsidTr="008D0173">
        <w:trPr>
          <w:trHeight w:val="615"/>
          <w:jc w:val="center"/>
        </w:trPr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44546A"/>
            <w:noWrap/>
            <w:vAlign w:val="center"/>
            <w:hideMark/>
          </w:tcPr>
          <w:p w14:paraId="0D5DAD7B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-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44546A"/>
            <w:noWrap/>
            <w:vAlign w:val="center"/>
            <w:hideMark/>
          </w:tcPr>
          <w:p w14:paraId="5DD50CFE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TX28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44546A"/>
            <w:noWrap/>
            <w:vAlign w:val="center"/>
            <w:hideMark/>
          </w:tcPr>
          <w:p w14:paraId="516046C9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DICP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4546A"/>
            <w:noWrap/>
            <w:vAlign w:val="center"/>
            <w:hideMark/>
          </w:tcPr>
          <w:p w14:paraId="7588770A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b/>
                <w:bCs/>
                <w:color w:val="FFFFFF"/>
                <w:lang w:eastAsia="es-AR"/>
              </w:rPr>
              <w:t>PARP</w:t>
            </w:r>
          </w:p>
        </w:tc>
      </w:tr>
      <w:tr w:rsidR="008D0173" w:rsidRPr="008D0173" w14:paraId="20C7A3D5" w14:textId="77777777" w:rsidTr="008D0173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676B1424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b/>
                <w:bCs/>
                <w:color w:val="000000"/>
                <w:lang w:val="es-ES" w:eastAsia="es-AR"/>
              </w:rPr>
              <w:t>VN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1F08970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color w:val="000000"/>
                <w:lang w:eastAsia="es-AR"/>
              </w:rPr>
              <w:t>111,7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3D557CA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color w:val="000000"/>
                <w:lang w:eastAsia="es-AR"/>
              </w:rPr>
              <w:t>2409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A95D2E0" w14:textId="097A57C0" w:rsidR="008D0173" w:rsidRPr="008D0173" w:rsidRDefault="00CE2477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5635</w:t>
            </w:r>
          </w:p>
        </w:tc>
      </w:tr>
      <w:tr w:rsidR="008D0173" w:rsidRPr="008D0173" w14:paraId="65087AB4" w14:textId="77777777" w:rsidTr="008D0173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5E4EEA8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b/>
                <w:bCs/>
                <w:color w:val="000000"/>
                <w:lang w:val="es-ES" w:eastAsia="es-AR"/>
              </w:rPr>
              <w:t>VR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AA4796C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color w:val="000000"/>
                <w:lang w:eastAsia="es-AR"/>
              </w:rPr>
              <w:t>100%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2D30EA1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color w:val="000000"/>
                <w:lang w:eastAsia="es-AR"/>
              </w:rPr>
              <w:t>100%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E533FF" w14:textId="2F044896" w:rsidR="008D0173" w:rsidRPr="008D0173" w:rsidRDefault="00CE2477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100%</w:t>
            </w:r>
          </w:p>
        </w:tc>
      </w:tr>
      <w:tr w:rsidR="008D0173" w:rsidRPr="008D0173" w14:paraId="0B156CE1" w14:textId="77777777" w:rsidTr="008D0173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15826A8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b/>
                <w:bCs/>
                <w:color w:val="000000"/>
                <w:lang w:val="es-ES" w:eastAsia="es-AR"/>
              </w:rPr>
              <w:t>TIR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DCFB7A5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color w:val="000000"/>
                <w:lang w:eastAsia="es-AR"/>
              </w:rPr>
              <w:t>7,97%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4C5331F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color w:val="000000"/>
                <w:lang w:eastAsia="es-AR"/>
              </w:rPr>
              <w:t>8,56%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C47019B" w14:textId="3E2A0476" w:rsidR="008D0173" w:rsidRPr="008D0173" w:rsidRDefault="00CE2477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22,9%</w:t>
            </w:r>
          </w:p>
        </w:tc>
      </w:tr>
      <w:tr w:rsidR="008D0173" w:rsidRPr="008D0173" w14:paraId="4E5F9763" w14:textId="77777777" w:rsidTr="008D0173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FFEB7D9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b/>
                <w:bCs/>
                <w:color w:val="000000"/>
                <w:lang w:val="es-ES" w:eastAsia="es-AR"/>
              </w:rPr>
              <w:t>PARIDAD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79DFDDF0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color w:val="000000"/>
                <w:lang w:eastAsia="es-AR"/>
              </w:rPr>
              <w:t>77,93%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1C5245CA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color w:val="000000"/>
                <w:lang w:eastAsia="es-AR"/>
              </w:rPr>
              <w:t>86,23%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B4C04C4" w14:textId="07CCB0A8" w:rsidR="008D0173" w:rsidRPr="008D0173" w:rsidRDefault="00CE2477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33,59%</w:t>
            </w:r>
          </w:p>
        </w:tc>
      </w:tr>
      <w:tr w:rsidR="008D0173" w:rsidRPr="008D0173" w14:paraId="5C0BB43A" w14:textId="77777777" w:rsidTr="008D0173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43F960B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Intereses corridos c/100 v.n.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66BFF1C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color w:val="000000"/>
                <w:lang w:eastAsia="es-AR"/>
              </w:rPr>
              <w:t>0,5694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826AA38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color w:val="000000"/>
                <w:lang w:eastAsia="es-AR"/>
              </w:rPr>
              <w:t>5,8967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E5CE00A" w14:textId="7246A528" w:rsidR="008D0173" w:rsidRPr="008D0173" w:rsidRDefault="00CE2477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0,0056</w:t>
            </w:r>
          </w:p>
        </w:tc>
      </w:tr>
      <w:tr w:rsidR="008D0173" w:rsidRPr="008D0173" w14:paraId="2DB33AA6" w14:textId="77777777" w:rsidTr="008D0173">
        <w:trPr>
          <w:trHeight w:val="300"/>
          <w:jc w:val="center"/>
        </w:trPr>
        <w:tc>
          <w:tcPr>
            <w:tcW w:w="2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480DF1AE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b/>
                <w:bCs/>
                <w:color w:val="000000"/>
                <w:lang w:val="es-ES" w:eastAsia="es-AR"/>
              </w:rPr>
              <w:t>DURATION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59FD8D88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color w:val="000000"/>
                <w:lang w:eastAsia="es-AR"/>
              </w:rPr>
              <w:t>4,45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2F2F2"/>
            <w:noWrap/>
            <w:vAlign w:val="center"/>
            <w:hideMark/>
          </w:tcPr>
          <w:p w14:paraId="6F2B74C4" w14:textId="77777777" w:rsidR="008D0173" w:rsidRPr="008D0173" w:rsidRDefault="008D0173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D0173">
              <w:rPr>
                <w:rFonts w:ascii="Calibri" w:eastAsia="Times New Roman" w:hAnsi="Calibri" w:cs="Calibri"/>
                <w:color w:val="000000"/>
                <w:lang w:eastAsia="es-AR"/>
              </w:rPr>
              <w:t>5,67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2B85A7" w14:textId="6C5CC29F" w:rsidR="008D0173" w:rsidRPr="008D0173" w:rsidRDefault="00CE2477" w:rsidP="008D01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4,81</w:t>
            </w:r>
          </w:p>
        </w:tc>
      </w:tr>
    </w:tbl>
    <w:p w14:paraId="3B6FC4EF" w14:textId="77777777" w:rsidR="008D0173" w:rsidRDefault="008D0173" w:rsidP="006E460E">
      <w:pPr>
        <w:rPr>
          <w:lang w:val="es-ES"/>
        </w:rPr>
      </w:pPr>
    </w:p>
    <w:p w14:paraId="745BAF9E" w14:textId="3997A500" w:rsidR="00421596" w:rsidRDefault="00925A3B">
      <w:pPr>
        <w:rPr>
          <w:rFonts w:ascii="Arial" w:hAnsi="Arial" w:cs="Arial"/>
          <w:b/>
          <w:bCs/>
          <w:color w:val="000000"/>
          <w:sz w:val="20"/>
          <w:szCs w:val="20"/>
        </w:rPr>
      </w:pPr>
      <w:r w:rsidRPr="00925A3B">
        <w:rPr>
          <w:rFonts w:ascii="Arial" w:hAnsi="Arial" w:cs="Arial"/>
          <w:b/>
          <w:bCs/>
          <w:color w:val="000000"/>
          <w:sz w:val="20"/>
          <w:szCs w:val="20"/>
        </w:rPr>
        <w:t xml:space="preserve">2- Arme y desarrolle una estrategia de corto plazo SOLO con FCI para una empresa que necesita hacer eficiente su flujo de fondos en un 50%, un 30% preservar el capital y obtener </w:t>
      </w:r>
      <w:r w:rsidR="00060F28" w:rsidRPr="00925A3B">
        <w:rPr>
          <w:rFonts w:ascii="Arial" w:hAnsi="Arial" w:cs="Arial"/>
          <w:b/>
          <w:bCs/>
          <w:color w:val="000000"/>
          <w:sz w:val="20"/>
          <w:szCs w:val="20"/>
        </w:rPr>
        <w:t>retornos significativos</w:t>
      </w:r>
      <w:r w:rsidRPr="00925A3B">
        <w:rPr>
          <w:rFonts w:ascii="Arial" w:hAnsi="Arial" w:cs="Arial"/>
          <w:b/>
          <w:bCs/>
          <w:color w:val="000000"/>
          <w:sz w:val="20"/>
          <w:szCs w:val="20"/>
        </w:rPr>
        <w:t xml:space="preserve"> con un 20%. Busque los datos en cualquier Gerenciadora de FCI del mercado argentino.</w:t>
      </w:r>
    </w:p>
    <w:p w14:paraId="09A1D5B5" w14:textId="7701F83E" w:rsidR="005C49DC" w:rsidRPr="00E0781E" w:rsidRDefault="005C49D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Flujo de fondos eficiente (50%):</w:t>
      </w:r>
      <w:r w:rsidR="00E0781E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E0781E">
        <w:rPr>
          <w:rFonts w:ascii="Arial" w:hAnsi="Arial" w:cs="Arial"/>
          <w:color w:val="000000"/>
          <w:sz w:val="20"/>
          <w:szCs w:val="20"/>
        </w:rPr>
        <w:t xml:space="preserve">Se selecciono </w:t>
      </w:r>
      <w:hyperlink r:id="rId6" w:history="1">
        <w:r w:rsidR="00E0781E" w:rsidRPr="00E0781E">
          <w:rPr>
            <w:rFonts w:ascii="Arial" w:hAnsi="Arial" w:cs="Arial"/>
            <w:b/>
            <w:bCs/>
            <w:color w:val="000000"/>
            <w:sz w:val="20"/>
            <w:szCs w:val="20"/>
          </w:rPr>
          <w:t>TORONTO TRUST AHORRO Clase A</w:t>
        </w:r>
      </w:hyperlink>
      <w:r w:rsidR="00E0781E">
        <w:rPr>
          <w:rFonts w:ascii="Arial" w:hAnsi="Arial" w:cs="Arial"/>
          <w:color w:val="000000"/>
          <w:sz w:val="20"/>
          <w:szCs w:val="20"/>
        </w:rPr>
        <w:t xml:space="preserve"> debido a que este fondo nos permitirá obtener </w:t>
      </w:r>
      <w:r w:rsidR="00E0781E" w:rsidRPr="00E0781E">
        <w:rPr>
          <w:rFonts w:ascii="Arial" w:hAnsi="Arial" w:cs="Arial"/>
          <w:color w:val="000000"/>
          <w:sz w:val="20"/>
          <w:szCs w:val="20"/>
        </w:rPr>
        <w:t xml:space="preserve">colocaciones de corto plazo en pesos que buscan rendimiento, sin riesgo de mercado y </w:t>
      </w:r>
      <w:r w:rsidR="00E0781E" w:rsidRPr="00A025DD">
        <w:rPr>
          <w:rFonts w:ascii="Arial" w:hAnsi="Arial" w:cs="Arial"/>
          <w:b/>
          <w:bCs/>
          <w:color w:val="000000"/>
          <w:sz w:val="20"/>
          <w:szCs w:val="20"/>
        </w:rPr>
        <w:t>con liquidez en el día</w:t>
      </w:r>
      <w:r w:rsidR="00E0781E">
        <w:rPr>
          <w:rFonts w:ascii="Arial" w:hAnsi="Arial" w:cs="Arial"/>
          <w:color w:val="000000"/>
          <w:sz w:val="20"/>
          <w:szCs w:val="20"/>
        </w:rPr>
        <w:t>.</w:t>
      </w:r>
    </w:p>
    <w:p w14:paraId="23AA7B21" w14:textId="14DB9EF3" w:rsidR="005C49DC" w:rsidRPr="00601DF1" w:rsidRDefault="005C49DC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Preservar capital (30%):</w:t>
      </w:r>
      <w:r w:rsidR="00254D7C">
        <w:rPr>
          <w:rFonts w:ascii="Arial" w:hAnsi="Arial" w:cs="Arial"/>
          <w:b/>
          <w:bCs/>
          <w:color w:val="000000"/>
          <w:sz w:val="20"/>
          <w:szCs w:val="20"/>
        </w:rPr>
        <w:t xml:space="preserve">  </w:t>
      </w:r>
      <w:r w:rsidR="00254D7C">
        <w:rPr>
          <w:rFonts w:ascii="Arial" w:hAnsi="Arial" w:cs="Arial"/>
          <w:color w:val="000000"/>
          <w:sz w:val="20"/>
          <w:szCs w:val="20"/>
        </w:rPr>
        <w:t xml:space="preserve">Se selecciono </w:t>
      </w:r>
      <w:r w:rsidR="00254D7C" w:rsidRPr="00601DF1">
        <w:rPr>
          <w:rFonts w:ascii="Arial" w:hAnsi="Arial" w:cs="Arial"/>
          <w:b/>
          <w:bCs/>
          <w:color w:val="000000"/>
          <w:sz w:val="20"/>
          <w:szCs w:val="20"/>
        </w:rPr>
        <w:t>BALANZ INS</w:t>
      </w:r>
      <w:r w:rsidR="00601DF1" w:rsidRPr="00601DF1">
        <w:rPr>
          <w:rFonts w:ascii="Arial" w:hAnsi="Arial" w:cs="Arial"/>
          <w:b/>
          <w:bCs/>
          <w:color w:val="000000"/>
          <w:sz w:val="20"/>
          <w:szCs w:val="20"/>
        </w:rPr>
        <w:t>TITUCIONAL CLASE A</w:t>
      </w:r>
      <w:r w:rsidR="00601DF1">
        <w:rPr>
          <w:rFonts w:ascii="Arial" w:hAnsi="Arial" w:cs="Arial"/>
          <w:color w:val="000000"/>
          <w:sz w:val="20"/>
          <w:szCs w:val="20"/>
        </w:rPr>
        <w:t xml:space="preserve"> debido a que este fondo nos permite obtener rendimientos variables que sigan a la inflación. La inversión de este fondo es principalmente en BONOS CER, el % invertido en este tipo de activo es del 61.2%. </w:t>
      </w:r>
    </w:p>
    <w:p w14:paraId="1B4B071E" w14:textId="38A4D71F" w:rsidR="00254D7C" w:rsidRDefault="005C49DC" w:rsidP="009D3FCB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 w:rsidRPr="00254D7C">
        <w:rPr>
          <w:rFonts w:ascii="Arial" w:hAnsi="Arial" w:cs="Arial"/>
          <w:color w:val="000000"/>
          <w:sz w:val="20"/>
          <w:szCs w:val="20"/>
        </w:rPr>
        <w:t>Retornos significativos (20%):</w:t>
      </w:r>
      <w:r w:rsidR="009D3FCB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Se selecciono </w:t>
      </w:r>
      <w:r w:rsidR="009D3FCB" w:rsidRPr="00254D7C">
        <w:rPr>
          <w:rFonts w:ascii="Arial" w:hAnsi="Arial" w:cs="Arial"/>
          <w:color w:val="000000"/>
          <w:sz w:val="20"/>
          <w:szCs w:val="20"/>
        </w:rPr>
        <w:t>DELTA LATINOAMÉRICA Clase B</w:t>
      </w:r>
      <w:r w:rsidR="009D3FCB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el cual invierte</w:t>
      </w:r>
      <w:r w:rsidR="00A025DD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en:</w:t>
      </w:r>
      <w:r w:rsidR="009D3FCB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</w:t>
      </w:r>
      <w:r w:rsidR="009D3FCB" w:rsidRPr="00A025DD">
        <w:rPr>
          <w:rFonts w:ascii="Arial" w:hAnsi="Arial" w:cs="Arial"/>
          <w:b w:val="0"/>
          <w:bCs w:val="0"/>
          <w:i/>
          <w:iCs/>
          <w:color w:val="000000"/>
          <w:sz w:val="20"/>
          <w:szCs w:val="20"/>
        </w:rPr>
        <w:t>se detalla composición de principales activos:</w:t>
      </w:r>
    </w:p>
    <w:p w14:paraId="6C0398B4" w14:textId="2A52F109" w:rsidR="009D3FCB" w:rsidRPr="009D3FCB" w:rsidRDefault="009D3FCB" w:rsidP="009D3FCB">
      <w:pPr>
        <w:pStyle w:val="Ttulo1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/>
          <w:sz w:val="20"/>
          <w:szCs w:val="20"/>
        </w:rPr>
        <w:br/>
      </w:r>
      <w:r w:rsidR="00254D7C"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- </w:t>
      </w:r>
      <w:r>
        <w:rPr>
          <w:rFonts w:ascii="Arial" w:hAnsi="Arial" w:cs="Arial"/>
          <w:b w:val="0"/>
          <w:bCs w:val="0"/>
          <w:color w:val="000000"/>
          <w:sz w:val="20"/>
          <w:szCs w:val="20"/>
        </w:rPr>
        <w:t xml:space="preserve"> Acciones Argentinas (43.8%): Las acciones Argentinas en están teniendo una recuperación en comparación al año pasado por lo que invertir en estos activos puede traer retornos significativos</w:t>
      </w:r>
      <w:r w:rsidR="007B2697">
        <w:rPr>
          <w:rFonts w:ascii="Arial" w:hAnsi="Arial" w:cs="Arial"/>
          <w:b w:val="0"/>
          <w:bCs w:val="0"/>
          <w:color w:val="000000"/>
          <w:sz w:val="20"/>
          <w:szCs w:val="20"/>
        </w:rPr>
        <w:t>, aunque es real que asumimos un mayor riesgo</w:t>
      </w:r>
      <w:r>
        <w:rPr>
          <w:rFonts w:ascii="Arial" w:hAnsi="Arial" w:cs="Arial"/>
          <w:b w:val="0"/>
          <w:bCs w:val="0"/>
          <w:color w:val="000000"/>
          <w:sz w:val="20"/>
          <w:szCs w:val="20"/>
        </w:rPr>
        <w:t>.</w:t>
      </w:r>
      <w:r>
        <w:rPr>
          <w:rFonts w:ascii="Arial" w:hAnsi="Arial" w:cs="Arial"/>
          <w:b w:val="0"/>
          <w:bCs w:val="0"/>
          <w:color w:val="000000"/>
          <w:sz w:val="20"/>
          <w:szCs w:val="20"/>
        </w:rPr>
        <w:br/>
        <w:t>- Cedears (24.3%): Con este tipo de instrumentos tenemos 2 ventajas, la primera salir del riesgo Argentino invirtiendo en activos del exterior, y la segunda que siguen al tipo de cambio, es decir, que ante una eventual depreciación de la moneda local, veremos un aumento en nuestros activos.</w:t>
      </w:r>
      <w:r>
        <w:rPr>
          <w:rFonts w:ascii="Arial" w:hAnsi="Arial" w:cs="Arial"/>
          <w:b w:val="0"/>
          <w:bCs w:val="0"/>
          <w:color w:val="000000"/>
          <w:sz w:val="20"/>
          <w:szCs w:val="20"/>
        </w:rPr>
        <w:br/>
        <w:t>- Bonos Cer (19.2%): Ajustan por inflación, la cual se espera que vaya en aumento en el corto/mediano plazo en Argentina.</w:t>
      </w:r>
    </w:p>
    <w:p w14:paraId="45C9BA63" w14:textId="6845E663" w:rsidR="005C49DC" w:rsidRDefault="005C49DC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46B55990" w14:textId="77777777" w:rsidR="005C49DC" w:rsidRPr="005C49DC" w:rsidRDefault="005C49DC">
      <w:pPr>
        <w:rPr>
          <w:rFonts w:ascii="Arial" w:hAnsi="Arial" w:cs="Arial"/>
          <w:b/>
          <w:bCs/>
          <w:color w:val="000000"/>
          <w:sz w:val="20"/>
          <w:szCs w:val="20"/>
        </w:rPr>
      </w:pPr>
    </w:p>
    <w:sectPr w:rsidR="005C49DC" w:rsidRPr="005C49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60E"/>
    <w:rsid w:val="00060F28"/>
    <w:rsid w:val="00254D7C"/>
    <w:rsid w:val="00421596"/>
    <w:rsid w:val="005C49DC"/>
    <w:rsid w:val="00601DF1"/>
    <w:rsid w:val="006E460E"/>
    <w:rsid w:val="007B2697"/>
    <w:rsid w:val="007E750A"/>
    <w:rsid w:val="008D0173"/>
    <w:rsid w:val="00925A3B"/>
    <w:rsid w:val="00982A34"/>
    <w:rsid w:val="009907D1"/>
    <w:rsid w:val="009D3FCB"/>
    <w:rsid w:val="00A025DD"/>
    <w:rsid w:val="00CE2477"/>
    <w:rsid w:val="00E0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FC649"/>
  <w15:chartTrackingRefBased/>
  <w15:docId w15:val="{61C88C27-889B-49D5-9AB2-C6252148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60E"/>
  </w:style>
  <w:style w:type="paragraph" w:styleId="Ttulo1">
    <w:name w:val="heading 1"/>
    <w:basedOn w:val="Normal"/>
    <w:link w:val="Ttulo1Car"/>
    <w:uiPriority w:val="9"/>
    <w:qFormat/>
    <w:rsid w:val="009D3F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3FC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E0781E"/>
    <w:rPr>
      <w:color w:val="0000FF"/>
      <w:u w:val="single"/>
    </w:rPr>
  </w:style>
  <w:style w:type="character" w:customStyle="1" w:styleId="ng-binding">
    <w:name w:val="ng-binding"/>
    <w:basedOn w:val="Fuentedeprrafopredeter"/>
    <w:rsid w:val="00E07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1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portfoliopersonal.com/Cotizaciones/FCI/718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542</Words>
  <Characters>2982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</dc:creator>
  <cp:keywords/>
  <dc:description/>
  <cp:lastModifiedBy>Agustin</cp:lastModifiedBy>
  <cp:revision>13</cp:revision>
  <dcterms:created xsi:type="dcterms:W3CDTF">2021-07-08T22:50:00Z</dcterms:created>
  <dcterms:modified xsi:type="dcterms:W3CDTF">2021-07-11T15:34:00Z</dcterms:modified>
</cp:coreProperties>
</file>