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  <w:gridCol w:w="6"/>
      </w:tblGrid>
      <w:tr w:rsidR="00763C49" w:rsidRPr="00763C49" w14:paraId="3758DD07" w14:textId="77777777" w:rsidTr="00763C49">
        <w:trPr>
          <w:gridAfter w:val="1"/>
        </w:trPr>
        <w:tc>
          <w:tcPr>
            <w:tcW w:w="0" w:type="auto"/>
            <w:shd w:val="clear" w:color="auto" w:fill="FFFFFF"/>
            <w:hideMark/>
          </w:tcPr>
          <w:p w14:paraId="03E6C151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br/>
              <w:t>1)     ¿Qué derivados financieros otorgan el derecho, pero no la obligación de ejercer operaciones previamente acordadas?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  <w:p w14:paraId="4692F16E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0E44DADC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028CF1DB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7427206B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1C139C1E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763C49" w:rsidRPr="00763C49" w14:paraId="4C055F4E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67241CDF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6666EFD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749437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60B5695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052610A0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20588313" w14:textId="2E0FB863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648F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2" type="#_x0000_t75" style="width:20.25pt;height:18pt" o:ole="">
            <v:imagedata r:id="rId4" o:title=""/>
          </v:shape>
          <w:control r:id="rId5" w:name="DefaultOcxName" w:shapeid="_x0000_i130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Opciones</w:t>
      </w:r>
    </w:p>
    <w:p w14:paraId="7EA9252C" w14:textId="4BDA915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7D501A3">
          <v:shape id="_x0000_i1301" type="#_x0000_t75" style="width:20.25pt;height:18pt" o:ole="">
            <v:imagedata r:id="rId6" o:title=""/>
          </v:shape>
          <w:control r:id="rId7" w:name="DefaultOcxName1" w:shapeid="_x0000_i130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Futuros</w:t>
      </w:r>
    </w:p>
    <w:p w14:paraId="3A040ECF" w14:textId="3C72F44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1ACAB7A">
          <v:shape id="_x0000_i1300" type="#_x0000_t75" style="width:20.25pt;height:18pt" o:ole="">
            <v:imagedata r:id="rId6" o:title=""/>
          </v:shape>
          <w:control r:id="rId8" w:name="DefaultOcxName2" w:shapeid="_x0000_i130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Ambas</w:t>
      </w:r>
    </w:p>
    <w:p w14:paraId="48B8DE8F" w14:textId="183F8A4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83B11F4">
          <v:shape id="_x0000_i1299" type="#_x0000_t75" style="width:20.25pt;height:18pt" o:ole="">
            <v:imagedata r:id="rId6" o:title=""/>
          </v:shape>
          <w:control r:id="rId9" w:name="DefaultOcxName3" w:shapeid="_x0000_i129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dos</w:t>
      </w:r>
    </w:p>
    <w:p w14:paraId="773EF91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45E73C87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5309D80A" w14:textId="748F9738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0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6D2CA50B" wp14:editId="58E216C0">
              <wp:extent cx="200025" cy="123825"/>
              <wp:effectExtent l="0" t="0" r="9525" b="9525"/>
              <wp:docPr id="19" name="Imagen 19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3BB1DF0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0" w:name="64036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5B204745" w14:textId="77777777" w:rsidTr="00763C49">
        <w:tc>
          <w:tcPr>
            <w:tcW w:w="50" w:type="pct"/>
            <w:shd w:val="clear" w:color="auto" w:fill="FFFFFF"/>
            <w:hideMark/>
          </w:tcPr>
          <w:p w14:paraId="31C62939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[2]</w:t>
            </w:r>
          </w:p>
        </w:tc>
        <w:tc>
          <w:tcPr>
            <w:tcW w:w="50" w:type="pct"/>
            <w:shd w:val="clear" w:color="auto" w:fill="FFFFFF"/>
            <w:hideMark/>
          </w:tcPr>
          <w:p w14:paraId="1A28381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3FC8FAB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2)     Cuando el precio de una acción está debajo del precio de ejercicio de una opción, la opción está...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50D3EDFA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005B0C18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4EBFF66A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EBA905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55D2151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6D5D6995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3A86A32" w14:textId="5515F52B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4C47AF3">
          <v:shape id="_x0000_i1298" type="#_x0000_t75" style="width:20.25pt;height:18pt" o:ole="">
            <v:imagedata r:id="rId6" o:title=""/>
          </v:shape>
          <w:control r:id="rId13" w:name="DefaultOcxName4" w:shapeid="_x0000_i129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In the money</w:t>
      </w:r>
    </w:p>
    <w:p w14:paraId="5EFEDDBF" w14:textId="69430DDE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0ADA21A">
          <v:shape id="_x0000_i1297" type="#_x0000_t75" style="width:20.25pt;height:18pt" o:ole="">
            <v:imagedata r:id="rId6" o:title=""/>
          </v:shape>
          <w:control r:id="rId14" w:name="DefaultOcxName5" w:shapeid="_x0000_i129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At the money</w:t>
      </w:r>
    </w:p>
    <w:p w14:paraId="728DE391" w14:textId="698484D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030B9E2">
          <v:shape id="_x0000_i1296" type="#_x0000_t75" style="width:20.25pt;height:18pt" o:ole="">
            <v:imagedata r:id="rId4" o:title=""/>
          </v:shape>
          <w:control r:id="rId15" w:name="DefaultOcxName6" w:shapeid="_x0000_i129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Out of the money</w:t>
      </w:r>
    </w:p>
    <w:p w14:paraId="48602331" w14:textId="79ACFB9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857BEEF">
          <v:shape id="_x0000_i1295" type="#_x0000_t75" style="width:20.25pt;height:18pt" o:ole="">
            <v:imagedata r:id="rId6" o:title=""/>
          </v:shape>
          <w:control r:id="rId16" w:name="DefaultOcxName7" w:shapeid="_x0000_i129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2B32EFD6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5C27A0D5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7751FF24" w14:textId="7AECCB93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944BAA2" wp14:editId="1DCA74BA">
              <wp:extent cx="200025" cy="123825"/>
              <wp:effectExtent l="0" t="0" r="9525" b="9525"/>
              <wp:docPr id="18" name="Imagen 18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1FB5FA45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" w:name="64037"/>
      <w:bookmarkEnd w:id="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56C8B77A" w14:textId="77777777" w:rsidTr="00763C49">
        <w:tc>
          <w:tcPr>
            <w:tcW w:w="50" w:type="pct"/>
            <w:shd w:val="clear" w:color="auto" w:fill="FFFFFF"/>
            <w:hideMark/>
          </w:tcPr>
          <w:p w14:paraId="234EFC0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[3]</w:t>
            </w:r>
          </w:p>
        </w:tc>
        <w:tc>
          <w:tcPr>
            <w:tcW w:w="50" w:type="pct"/>
            <w:shd w:val="clear" w:color="auto" w:fill="FFFFFF"/>
            <w:hideMark/>
          </w:tcPr>
          <w:p w14:paraId="2826DBDA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CD0F16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3)     Las opciones se negocian en lotes de ¿cuántas opciones?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030476A9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6D33A02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77F9C2D7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93FA64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3B49D5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D48EE62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51EE2043" w14:textId="6C7D8C1C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CB8989E">
          <v:shape id="_x0000_i1294" type="#_x0000_t75" style="width:20.25pt;height:18pt" o:ole="">
            <v:imagedata r:id="rId6" o:title=""/>
          </v:shape>
          <w:control r:id="rId18" w:name="DefaultOcxName8" w:shapeid="_x0000_i129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5</w:t>
      </w:r>
    </w:p>
    <w:p w14:paraId="37588215" w14:textId="62BFC01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0C3AEFA">
          <v:shape id="_x0000_i1293" type="#_x0000_t75" style="width:20.25pt;height:18pt" o:ole="">
            <v:imagedata r:id="rId6" o:title=""/>
          </v:shape>
          <w:control r:id="rId19" w:name="DefaultOcxName9" w:shapeid="_x0000_i129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50</w:t>
      </w:r>
    </w:p>
    <w:p w14:paraId="59832E01" w14:textId="691CA4EC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E1C94E6">
          <v:shape id="_x0000_i1292" type="#_x0000_t75" style="width:20.25pt;height:18pt" o:ole="">
            <v:imagedata r:id="rId6" o:title=""/>
          </v:shape>
          <w:control r:id="rId20" w:name="DefaultOcxName10" w:shapeid="_x0000_i129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500</w:t>
      </w:r>
    </w:p>
    <w:p w14:paraId="1888B60E" w14:textId="00A50AD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988FA7F">
          <v:shape id="_x0000_i1291" type="#_x0000_t75" style="width:20.25pt;height:18pt" o:ole="">
            <v:imagedata r:id="rId4" o:title=""/>
          </v:shape>
          <w:control r:id="rId21" w:name="DefaultOcxName11" w:shapeid="_x0000_i129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4FBCFAD2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1FEF2BEC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lastRenderedPageBreak/>
        <w:t>Puntaje: 5</w:t>
      </w:r>
    </w:p>
    <w:p w14:paraId="3574CA36" w14:textId="681FA66F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36FEA3CB" wp14:editId="2C1621E9">
              <wp:extent cx="200025" cy="123825"/>
              <wp:effectExtent l="0" t="0" r="9525" b="9525"/>
              <wp:docPr id="17" name="Imagen 17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C7E4C6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2" w:name="64038"/>
      <w:bookmarkEnd w:id="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291E4F67" w14:textId="77777777" w:rsidTr="00763C49">
        <w:tc>
          <w:tcPr>
            <w:tcW w:w="50" w:type="pct"/>
            <w:shd w:val="clear" w:color="auto" w:fill="FFFFFF"/>
            <w:hideMark/>
          </w:tcPr>
          <w:p w14:paraId="74464D5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[4]</w:t>
            </w:r>
          </w:p>
        </w:tc>
        <w:tc>
          <w:tcPr>
            <w:tcW w:w="50" w:type="pct"/>
            <w:shd w:val="clear" w:color="auto" w:fill="FFFFFF"/>
            <w:hideMark/>
          </w:tcPr>
          <w:p w14:paraId="4811930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541D1E6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4)     ¿Quién recibe los pagos por las primas de las opciones emitidas (lanzadas)?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64813845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0AD8FD0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5A6D7999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6F005B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4DEDAEB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4C58932C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D12CC3B" w14:textId="318860C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1DE6B6D">
          <v:shape id="_x0000_i1290" type="#_x0000_t75" style="width:20.25pt;height:18pt" o:ole="">
            <v:imagedata r:id="rId6" o:title=""/>
          </v:shape>
          <w:control r:id="rId23" w:name="DefaultOcxName12" w:shapeid="_x0000_i129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El comprador de las opciones</w:t>
      </w:r>
    </w:p>
    <w:p w14:paraId="5531FE0D" w14:textId="08DBE900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CCC15C8">
          <v:shape id="_x0000_i1289" type="#_x0000_t75" style="width:20.25pt;height:18pt" o:ole="">
            <v:imagedata r:id="rId6" o:title=""/>
          </v:shape>
          <w:control r:id="rId24" w:name="DefaultOcxName13" w:shapeid="_x0000_i128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La empresa que emitió las acciones (activo subyacente)</w:t>
      </w:r>
    </w:p>
    <w:p w14:paraId="79EC140F" w14:textId="6819CE88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C6C63B0">
          <v:shape id="_x0000_i1288" type="#_x0000_t75" style="width:20.25pt;height:18pt" o:ole="">
            <v:imagedata r:id="rId4" o:title=""/>
          </v:shape>
          <w:control r:id="rId25" w:name="DefaultOcxName14" w:shapeid="_x0000_i128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El vendedor de las opciones</w:t>
      </w:r>
    </w:p>
    <w:p w14:paraId="70CA6D65" w14:textId="119F9C8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5391C18">
          <v:shape id="_x0000_i1287" type="#_x0000_t75" style="width:20.25pt;height:18pt" o:ole="">
            <v:imagedata r:id="rId6" o:title=""/>
          </v:shape>
          <w:control r:id="rId26" w:name="DefaultOcxName15" w:shapeid="_x0000_i128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Todos los anteriores a prorrata</w:t>
      </w:r>
    </w:p>
    <w:p w14:paraId="20D3B5E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4F61C48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20A7ED4B" w14:textId="2B365F6D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AF7B7AA" wp14:editId="5800A13C">
              <wp:extent cx="200025" cy="123825"/>
              <wp:effectExtent l="0" t="0" r="9525" b="9525"/>
              <wp:docPr id="16" name="Imagen 16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654728E4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3" w:name="64039"/>
      <w:bookmarkEnd w:id="3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153D871C" w14:textId="77777777" w:rsidTr="00763C49">
        <w:tc>
          <w:tcPr>
            <w:tcW w:w="50" w:type="pct"/>
            <w:shd w:val="clear" w:color="auto" w:fill="FFFFFF"/>
            <w:hideMark/>
          </w:tcPr>
          <w:p w14:paraId="75F89A1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[5]</w:t>
            </w:r>
          </w:p>
        </w:tc>
        <w:tc>
          <w:tcPr>
            <w:tcW w:w="50" w:type="pct"/>
            <w:shd w:val="clear" w:color="auto" w:fill="FFFFFF"/>
            <w:hideMark/>
          </w:tcPr>
          <w:p w14:paraId="5D3BD6A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A648A3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5)     Además del valor activo subyacente y el precio de ejercicio, ¿qué variables afectan la valuación de las opciones?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5314C5B7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7474F43E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125DE81D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CADBC5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79E6851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EF1D29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E291E9B" w14:textId="48B11A4E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C4D9A4C">
          <v:shape id="_x0000_i1286" type="#_x0000_t75" style="width:20.25pt;height:18pt" o:ole="">
            <v:imagedata r:id="rId6" o:title=""/>
          </v:shape>
          <w:control r:id="rId28" w:name="DefaultOcxName16" w:shapeid="_x0000_i128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Tasa libre de riesgo</w:t>
      </w:r>
    </w:p>
    <w:p w14:paraId="0A881726" w14:textId="53ECCE8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8252F86">
          <v:shape id="_x0000_i1285" type="#_x0000_t75" style="width:20.25pt;height:18pt" o:ole="">
            <v:imagedata r:id="rId6" o:title=""/>
          </v:shape>
          <w:control r:id="rId29" w:name="DefaultOcxName17" w:shapeid="_x0000_i128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Volatilidad del activo subyacente</w:t>
      </w:r>
    </w:p>
    <w:p w14:paraId="21ECC394" w14:textId="70DE40C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59D0052">
          <v:shape id="_x0000_i1284" type="#_x0000_t75" style="width:20.25pt;height:18pt" o:ole="">
            <v:imagedata r:id="rId6" o:title=""/>
          </v:shape>
          <w:control r:id="rId30" w:name="DefaultOcxName18" w:shapeid="_x0000_i128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Tiempo hasta la expiración</w:t>
      </w:r>
    </w:p>
    <w:p w14:paraId="1317D624" w14:textId="16946B59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3221F0E">
          <v:shape id="_x0000_i1283" type="#_x0000_t75" style="width:20.25pt;height:18pt" o:ole="">
            <v:imagedata r:id="rId4" o:title=""/>
          </v:shape>
          <w:control r:id="rId31" w:name="DefaultOcxName19" w:shapeid="_x0000_i128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Todas las anteriores</w:t>
      </w:r>
    </w:p>
    <w:p w14:paraId="147EE09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627B05ED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249F45B8" w14:textId="1FDAC6E5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3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F0E510D" wp14:editId="4BE15DDD">
              <wp:extent cx="200025" cy="123825"/>
              <wp:effectExtent l="0" t="0" r="9525" b="9525"/>
              <wp:docPr id="15" name="Imagen 15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D42578C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4" w:name="64040"/>
      <w:bookmarkEnd w:id="4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7BC21CBF" w14:textId="77777777" w:rsidTr="00763C49">
        <w:tc>
          <w:tcPr>
            <w:tcW w:w="50" w:type="pct"/>
            <w:shd w:val="clear" w:color="auto" w:fill="FFFFFF"/>
            <w:hideMark/>
          </w:tcPr>
          <w:p w14:paraId="4525561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[6]</w:t>
            </w:r>
          </w:p>
        </w:tc>
        <w:tc>
          <w:tcPr>
            <w:tcW w:w="50" w:type="pct"/>
            <w:shd w:val="clear" w:color="auto" w:fill="FFFFFF"/>
            <w:hideMark/>
          </w:tcPr>
          <w:p w14:paraId="4463E3EE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2BF0CF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6)     Un incremento en la cotización del activo subyacente...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7A415D57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60D5CCA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15858BC6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186FCC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F4FFA4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38A6D3DC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31A5F22" w14:textId="0435419B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34827F4">
          <v:shape id="_x0000_i1282" type="#_x0000_t75" style="width:20.25pt;height:18pt" o:ole="">
            <v:imagedata r:id="rId6" o:title=""/>
          </v:shape>
          <w:control r:id="rId33" w:name="DefaultOcxName20" w:shapeid="_x0000_i128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Decrece el valor de la opción de compra y aumenta el valor de la opción de venta</w:t>
      </w:r>
    </w:p>
    <w:p w14:paraId="55C08EBD" w14:textId="55769C9C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2319961">
          <v:shape id="_x0000_i1281" type="#_x0000_t75" style="width:20.25pt;height:18pt" o:ole="">
            <v:imagedata r:id="rId4" o:title=""/>
          </v:shape>
          <w:control r:id="rId34" w:name="DefaultOcxName21" w:shapeid="_x0000_i128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Aumenta el valor de la opción de compra y decrece el valor de la opción de venta</w:t>
      </w:r>
    </w:p>
    <w:p w14:paraId="5730DE5F" w14:textId="60D1B25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3D5DAA2">
          <v:shape id="_x0000_i1280" type="#_x0000_t75" style="width:20.25pt;height:18pt" o:ole="">
            <v:imagedata r:id="rId6" o:title=""/>
          </v:shape>
          <w:control r:id="rId35" w:name="DefaultOcxName22" w:shapeid="_x0000_i128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Aumenta el valor de ambas opciones</w:t>
      </w:r>
    </w:p>
    <w:p w14:paraId="08CFCA11" w14:textId="056C4D2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E313BC4">
          <v:shape id="_x0000_i1279" type="#_x0000_t75" style="width:20.25pt;height:18pt" o:ole="">
            <v:imagedata r:id="rId6" o:title=""/>
          </v:shape>
          <w:control r:id="rId36" w:name="DefaultOcxName23" w:shapeid="_x0000_i127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2687A2B4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C799388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1F1D8E77" w14:textId="5CE0C2B3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3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11CE898D" wp14:editId="50B5789B">
              <wp:extent cx="200025" cy="123825"/>
              <wp:effectExtent l="0" t="0" r="9525" b="9525"/>
              <wp:docPr id="14" name="Imagen 1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4BEF3EB3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5" w:name="64041"/>
      <w:bookmarkEnd w:id="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0B4E6E08" w14:textId="77777777" w:rsidTr="00763C49">
        <w:tc>
          <w:tcPr>
            <w:tcW w:w="50" w:type="pct"/>
            <w:shd w:val="clear" w:color="auto" w:fill="FFFFFF"/>
            <w:hideMark/>
          </w:tcPr>
          <w:p w14:paraId="3445403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[7]</w:t>
            </w:r>
          </w:p>
        </w:tc>
        <w:tc>
          <w:tcPr>
            <w:tcW w:w="50" w:type="pct"/>
            <w:shd w:val="clear" w:color="auto" w:fill="FFFFFF"/>
            <w:hideMark/>
          </w:tcPr>
          <w:p w14:paraId="5FBCE94C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4F03B7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7)     La paridad de opciones de compra y de venta (put-call parity)...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3F8288CB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5ADFE7C5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4639CF3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CB599D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2CEB856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0DC6AD83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19FB454C" w14:textId="42B3AF78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B7F944E">
          <v:shape id="_x0000_i1278" type="#_x0000_t75" style="width:20.25pt;height:18pt" o:ole="">
            <v:imagedata r:id="rId6" o:title=""/>
          </v:shape>
          <w:control r:id="rId38" w:name="DefaultOcxName24" w:shapeid="_x0000_i127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Permite valuar un put a partir de un call con las mismas condiciones de emisión</w:t>
      </w:r>
    </w:p>
    <w:p w14:paraId="579E2BC1" w14:textId="6BAD1E6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8694303">
          <v:shape id="_x0000_i1277" type="#_x0000_t75" style="width:20.25pt;height:18pt" o:ole="">
            <v:imagedata r:id="rId6" o:title=""/>
          </v:shape>
          <w:control r:id="rId39" w:name="DefaultOcxName25" w:shapeid="_x0000_i127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Permite detectar oportunidades de arbitraje</w:t>
      </w:r>
    </w:p>
    <w:p w14:paraId="6A017F53" w14:textId="124B98FE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93C9949">
          <v:shape id="_x0000_i1276" type="#_x0000_t75" style="width:20.25pt;height:18pt" o:ole="">
            <v:imagedata r:id="rId4" o:title=""/>
          </v:shape>
          <w:control r:id="rId40" w:name="DefaultOcxName26" w:shapeid="_x0000_i127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Todas las anteriores</w:t>
      </w:r>
    </w:p>
    <w:p w14:paraId="567E88CA" w14:textId="0D04C586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4D1857F">
          <v:shape id="_x0000_i1275" type="#_x0000_t75" style="width:20.25pt;height:18pt" o:ole="">
            <v:imagedata r:id="rId6" o:title=""/>
          </v:shape>
          <w:control r:id="rId41" w:name="DefaultOcxName27" w:shapeid="_x0000_i127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4F528DF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2D1D1BBE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50BE07C9" w14:textId="62899379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4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4FB3C45" wp14:editId="40ED169E">
              <wp:extent cx="200025" cy="123825"/>
              <wp:effectExtent l="0" t="0" r="9525" b="9525"/>
              <wp:docPr id="13" name="Imagen 13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253D99F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6" w:name="64042"/>
      <w:bookmarkEnd w:id="6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7472A728" w14:textId="77777777" w:rsidTr="00763C49">
        <w:tc>
          <w:tcPr>
            <w:tcW w:w="50" w:type="pct"/>
            <w:shd w:val="clear" w:color="auto" w:fill="FFFFFF"/>
            <w:hideMark/>
          </w:tcPr>
          <w:p w14:paraId="47485A71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[8]</w:t>
            </w:r>
          </w:p>
        </w:tc>
        <w:tc>
          <w:tcPr>
            <w:tcW w:w="50" w:type="pct"/>
            <w:shd w:val="clear" w:color="auto" w:fill="FFFFFF"/>
            <w:hideMark/>
          </w:tcPr>
          <w:p w14:paraId="3DC2865B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AA91AB6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8)     ¿Qué derivados financieros generan la obligación de ejercer operaciones previamente acordadas?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32C4914F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6D83B11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0CC006B8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2D165E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DCE69FB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3A07565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46885538" w14:textId="745C98ED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543E275">
          <v:shape id="_x0000_i1274" type="#_x0000_t75" style="width:20.25pt;height:18pt" o:ole="">
            <v:imagedata r:id="rId6" o:title=""/>
          </v:shape>
          <w:control r:id="rId43" w:name="DefaultOcxName28" w:shapeid="_x0000_i127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Opciones</w:t>
      </w:r>
    </w:p>
    <w:p w14:paraId="773A2AB8" w14:textId="64038800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8536F9C">
          <v:shape id="_x0000_i1273" type="#_x0000_t75" style="width:20.25pt;height:18pt" o:ole="">
            <v:imagedata r:id="rId4" o:title=""/>
          </v:shape>
          <w:control r:id="rId44" w:name="DefaultOcxName29" w:shapeid="_x0000_i127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Futuros</w:t>
      </w:r>
    </w:p>
    <w:p w14:paraId="0D85CBD5" w14:textId="31658DC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3ED63A1">
          <v:shape id="_x0000_i1272" type="#_x0000_t75" style="width:20.25pt;height:18pt" o:ole="">
            <v:imagedata r:id="rId6" o:title=""/>
          </v:shape>
          <w:control r:id="rId45" w:name="DefaultOcxName30" w:shapeid="_x0000_i127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Ambas</w:t>
      </w:r>
    </w:p>
    <w:p w14:paraId="60E96EF0" w14:textId="0206D24B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513D48E">
          <v:shape id="_x0000_i1271" type="#_x0000_t75" style="width:20.25pt;height:18pt" o:ole="">
            <v:imagedata r:id="rId6" o:title=""/>
          </v:shape>
          <w:control r:id="rId46" w:name="DefaultOcxName31" w:shapeid="_x0000_i127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dos</w:t>
      </w:r>
    </w:p>
    <w:p w14:paraId="7651CEBE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B753BE5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1B879730" w14:textId="671D4E7F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4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4CE26DA" wp14:editId="4A242146">
              <wp:extent cx="200025" cy="123825"/>
              <wp:effectExtent l="0" t="0" r="9525" b="9525"/>
              <wp:docPr id="12" name="Imagen 12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3BBFBB7E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7" w:name="64043"/>
      <w:bookmarkEnd w:id="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66"/>
        <w:gridCol w:w="8193"/>
      </w:tblGrid>
      <w:tr w:rsidR="00763C49" w:rsidRPr="00763C49" w14:paraId="69457FF7" w14:textId="77777777" w:rsidTr="00763C49">
        <w:tc>
          <w:tcPr>
            <w:tcW w:w="50" w:type="pct"/>
            <w:shd w:val="clear" w:color="auto" w:fill="FFFFFF"/>
            <w:hideMark/>
          </w:tcPr>
          <w:p w14:paraId="4588AD4F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[9]</w:t>
            </w:r>
          </w:p>
        </w:tc>
        <w:tc>
          <w:tcPr>
            <w:tcW w:w="50" w:type="pct"/>
            <w:shd w:val="clear" w:color="auto" w:fill="FFFFFF"/>
            <w:hideMark/>
          </w:tcPr>
          <w:p w14:paraId="276D960E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224F35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9)     ¿Cuál de estas afirmaciones es correcta?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3997D9E3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2A4B0D29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0F474724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449CFD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C80F08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118E9C74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2714D074" w14:textId="1D6D1D5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3B535D1">
          <v:shape id="_x0000_i1270" type="#_x0000_t75" style="width:20.25pt;height:18pt" o:ole="">
            <v:imagedata r:id="rId4" o:title=""/>
          </v:shape>
          <w:control r:id="rId48" w:name="DefaultOcxName32" w:shapeid="_x0000_i127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Los futuros son contratos estadarizados y tienen mayor liquidez</w:t>
      </w:r>
    </w:p>
    <w:p w14:paraId="648DC276" w14:textId="77B10F32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9DE4461">
          <v:shape id="_x0000_i1269" type="#_x0000_t75" style="width:20.25pt;height:18pt" o:ole="">
            <v:imagedata r:id="rId6" o:title=""/>
          </v:shape>
          <w:control r:id="rId49" w:name="DefaultOcxName33" w:shapeid="_x0000_i126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Los forwards son contratos estandarizados y tienen mayor liquidez</w:t>
      </w:r>
    </w:p>
    <w:p w14:paraId="2D6A1E48" w14:textId="3D0125A5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EF21295">
          <v:shape id="_x0000_i1268" type="#_x0000_t75" style="width:20.25pt;height:18pt" o:ole="">
            <v:imagedata r:id="rId6" o:title=""/>
          </v:shape>
          <w:control r:id="rId50" w:name="DefaultOcxName34" w:shapeid="_x0000_i126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Los futuros son contratos estandarizados y tienen menor liquidez</w:t>
      </w:r>
    </w:p>
    <w:p w14:paraId="5B187BD5" w14:textId="57763C70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7BFB3B3">
          <v:shape id="_x0000_i1267" type="#_x0000_t75" style="width:20.25pt;height:18pt" o:ole="">
            <v:imagedata r:id="rId6" o:title=""/>
          </v:shape>
          <w:control r:id="rId51" w:name="DefaultOcxName35" w:shapeid="_x0000_i126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Los forwards no son contratos estandarizados y tienen mayor liquidez</w:t>
      </w:r>
    </w:p>
    <w:p w14:paraId="555385C0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003EFBC2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B4CEF43" w14:textId="15696361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5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505D9E23" wp14:editId="152DB444">
              <wp:extent cx="200025" cy="123825"/>
              <wp:effectExtent l="0" t="0" r="9525" b="9525"/>
              <wp:docPr id="11" name="Imagen 11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21839025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8" w:name="64044"/>
      <w:bookmarkEnd w:id="8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0196E816" w14:textId="77777777" w:rsidTr="00763C49">
        <w:tc>
          <w:tcPr>
            <w:tcW w:w="50" w:type="pct"/>
            <w:shd w:val="clear" w:color="auto" w:fill="FFFFFF"/>
            <w:hideMark/>
          </w:tcPr>
          <w:p w14:paraId="4F3DA32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[10]</w:t>
            </w:r>
          </w:p>
        </w:tc>
        <w:tc>
          <w:tcPr>
            <w:tcW w:w="50" w:type="pct"/>
            <w:shd w:val="clear" w:color="auto" w:fill="FFFFFF"/>
            <w:hideMark/>
          </w:tcPr>
          <w:p w14:paraId="0AA8602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7D7FA5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10)  ¿Cuál de estas afirmaciones es correcta?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44BF5A2F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1552534F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0C2FA85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52C3D6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B591D2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7BF3A170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lastRenderedPageBreak/>
        <w:br/>
      </w:r>
    </w:p>
    <w:p w14:paraId="4C853E79" w14:textId="22AA11C9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28882D3">
          <v:shape id="_x0000_i1266" type="#_x0000_t75" style="width:20.25pt;height:18pt" o:ole="">
            <v:imagedata r:id="rId6" o:title=""/>
          </v:shape>
          <w:control r:id="rId53" w:name="DefaultOcxName36" w:shapeid="_x0000_i126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Una posición larga (long) en futuros acuerda vender el activo subyacente</w:t>
      </w:r>
    </w:p>
    <w:p w14:paraId="2EBA7A4E" w14:textId="7B40036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A0FB7E3">
          <v:shape id="_x0000_i1265" type="#_x0000_t75" style="width:20.25pt;height:18pt" o:ole="">
            <v:imagedata r:id="rId4" o:title=""/>
          </v:shape>
          <w:control r:id="rId54" w:name="DefaultOcxName37" w:shapeid="_x0000_i126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Una posición larga (long) en futuros acuerda comprar el activo subyacente</w:t>
      </w:r>
    </w:p>
    <w:p w14:paraId="42F2CDB7" w14:textId="61534FE0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80E5423">
          <v:shape id="_x0000_i1264" type="#_x0000_t75" style="width:20.25pt;height:18pt" o:ole="">
            <v:imagedata r:id="rId6" o:title=""/>
          </v:shape>
          <w:control r:id="rId55" w:name="DefaultOcxName38" w:shapeid="_x0000_i126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Una posición corta (short) en futuros acuerda comprar el activo subyacente</w:t>
      </w:r>
    </w:p>
    <w:p w14:paraId="77CAB4FA" w14:textId="0138E339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8BE7FEF">
          <v:shape id="_x0000_i1263" type="#_x0000_t75" style="width:20.25pt;height:18pt" o:ole="">
            <v:imagedata r:id="rId6" o:title=""/>
          </v:shape>
          <w:control r:id="rId56" w:name="DefaultOcxName39" w:shapeid="_x0000_i126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368DD04F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97D3958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540DCC38" w14:textId="2A848D77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5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F3EB6A9" wp14:editId="60B8BF02">
              <wp:extent cx="200025" cy="123825"/>
              <wp:effectExtent l="0" t="0" r="9525" b="9525"/>
              <wp:docPr id="10" name="Imagen 10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306065DF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9" w:name="64045"/>
      <w:bookmarkEnd w:id="9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00DE6F23" w14:textId="77777777" w:rsidTr="00763C49">
        <w:tc>
          <w:tcPr>
            <w:tcW w:w="50" w:type="pct"/>
            <w:shd w:val="clear" w:color="auto" w:fill="FFFFFF"/>
            <w:hideMark/>
          </w:tcPr>
          <w:p w14:paraId="7D30FA91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[11]</w:t>
            </w:r>
          </w:p>
        </w:tc>
        <w:tc>
          <w:tcPr>
            <w:tcW w:w="50" w:type="pct"/>
            <w:shd w:val="clear" w:color="auto" w:fill="FFFFFF"/>
            <w:hideMark/>
          </w:tcPr>
          <w:p w14:paraId="5B0995B8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C1963A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11)  El mercado de futuros se compone de...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  <w:p w14:paraId="32ACF581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AR"/>
              </w:rPr>
              <w:t> </w:t>
            </w:r>
          </w:p>
          <w:p w14:paraId="305325D0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AR"/>
              </w:rPr>
              <w:t> </w:t>
            </w:r>
          </w:p>
        </w:tc>
      </w:tr>
      <w:tr w:rsidR="00763C49" w:rsidRPr="00763C49" w14:paraId="12E18F9A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705A4BA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5200AB7B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3146F5A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7EBF7B1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724EB89F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510D9602" w14:textId="26AD452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3F24C23">
          <v:shape id="_x0000_i1262" type="#_x0000_t75" style="width:20.25pt;height:18pt" o:ole="">
            <v:imagedata r:id="rId6" o:title=""/>
          </v:shape>
          <w:control r:id="rId58" w:name="DefaultOcxName40" w:shapeid="_x0000_i126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Inversores que se cubren</w:t>
      </w:r>
    </w:p>
    <w:p w14:paraId="1140BA73" w14:textId="73E79B26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15F8CEB">
          <v:shape id="_x0000_i1261" type="#_x0000_t75" style="width:20.25pt;height:18pt" o:ole="">
            <v:imagedata r:id="rId6" o:title=""/>
          </v:shape>
          <w:control r:id="rId59" w:name="DefaultOcxName41" w:shapeid="_x0000_i126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Inversores que especulan</w:t>
      </w:r>
    </w:p>
    <w:p w14:paraId="7B3D7A95" w14:textId="5B797382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9ADE1AB">
          <v:shape id="_x0000_i1260" type="#_x0000_t75" style="width:20.25pt;height:18pt" o:ole="">
            <v:imagedata r:id="rId6" o:title=""/>
          </v:shape>
          <w:control r:id="rId60" w:name="DefaultOcxName42" w:shapeid="_x0000_i126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Inversores que arbitran</w:t>
      </w:r>
    </w:p>
    <w:p w14:paraId="009497CD" w14:textId="72B1B6ED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7EB75634">
          <v:shape id="_x0000_i1259" type="#_x0000_t75" style="width:20.25pt;height:18pt" o:ole="">
            <v:imagedata r:id="rId4" o:title=""/>
          </v:shape>
          <w:control r:id="rId61" w:name="DefaultOcxName43" w:shapeid="_x0000_i125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Todos los anteriores</w:t>
      </w:r>
    </w:p>
    <w:p w14:paraId="5F9035B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A6987B2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7D879146" w14:textId="6C621916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6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5A72F71C" wp14:editId="786C4363">
              <wp:extent cx="200025" cy="123825"/>
              <wp:effectExtent l="0" t="0" r="9525" b="9525"/>
              <wp:docPr id="9" name="Imagen 9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4DD33EC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0" w:name="64046"/>
      <w:bookmarkEnd w:id="1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737FECE9" w14:textId="77777777" w:rsidTr="00763C49">
        <w:tc>
          <w:tcPr>
            <w:tcW w:w="50" w:type="pct"/>
            <w:shd w:val="clear" w:color="auto" w:fill="FFFFFF"/>
            <w:hideMark/>
          </w:tcPr>
          <w:p w14:paraId="451DCA90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[12]</w:t>
            </w:r>
          </w:p>
        </w:tc>
        <w:tc>
          <w:tcPr>
            <w:tcW w:w="50" w:type="pct"/>
            <w:shd w:val="clear" w:color="auto" w:fill="FFFFFF"/>
            <w:hideMark/>
          </w:tcPr>
          <w:p w14:paraId="22F0CA6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A90E3CD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12)  Además del valor del futuro y la cotización actual, ¿qué otras variables son necesarias para valuar un futuro mediante el método costo de mantenimiento (cost-of-carry)?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4A0296BB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0DB0A4C1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29EC0D30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AD2833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FC2AA0D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605D4DE3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681E204" w14:textId="11144E8D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77ECE82">
          <v:shape id="_x0000_i1258" type="#_x0000_t75" style="width:20.25pt;height:18pt" o:ole="">
            <v:imagedata r:id="rId6" o:title=""/>
          </v:shape>
          <w:control r:id="rId63" w:name="DefaultOcxName44" w:shapeid="_x0000_i125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"c" Cost of carry (costo financiación, almacenamiento, seguro, transporte)</w:t>
      </w:r>
    </w:p>
    <w:p w14:paraId="6FC8AA83" w14:textId="49F3D41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6C502D5">
          <v:shape id="_x0000_i1257" type="#_x0000_t75" style="width:20.25pt;height:18pt" o:ole="">
            <v:imagedata r:id="rId6" o:title=""/>
          </v:shape>
          <w:control r:id="rId64" w:name="DefaultOcxName45" w:shapeid="_x0000_i125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"y" Convenience yield (beneficio por mantener el activo subyacente)</w:t>
      </w:r>
    </w:p>
    <w:p w14:paraId="0042558F" w14:textId="116246FD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F0A624B">
          <v:shape id="_x0000_i1256" type="#_x0000_t75" style="width:20.25pt;height:18pt" o:ole="">
            <v:imagedata r:id="rId6" o:title=""/>
          </v:shape>
          <w:control r:id="rId65" w:name="DefaultOcxName46" w:shapeid="_x0000_i125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Tiempo a entrega</w:t>
      </w:r>
    </w:p>
    <w:p w14:paraId="0BD90D11" w14:textId="3737B03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7C69CAEF">
          <v:shape id="_x0000_i1255" type="#_x0000_t75" style="width:20.25pt;height:18pt" o:ole="">
            <v:imagedata r:id="rId4" o:title=""/>
          </v:shape>
          <w:control r:id="rId66" w:name="DefaultOcxName47" w:shapeid="_x0000_i125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Todas las anteriores</w:t>
      </w:r>
    </w:p>
    <w:p w14:paraId="20D70EE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563B84E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DA277B8" w14:textId="526ACD37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6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19B1E0D" wp14:editId="7EC1230E">
              <wp:extent cx="200025" cy="123825"/>
              <wp:effectExtent l="0" t="0" r="9525" b="9525"/>
              <wp:docPr id="8" name="Imagen 8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2CD794F4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1" w:name="64047"/>
      <w:bookmarkEnd w:id="1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3D294B52" w14:textId="77777777" w:rsidTr="00763C49">
        <w:tc>
          <w:tcPr>
            <w:tcW w:w="50" w:type="pct"/>
            <w:shd w:val="clear" w:color="auto" w:fill="FFFFFF"/>
            <w:hideMark/>
          </w:tcPr>
          <w:p w14:paraId="657A169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[13]</w:t>
            </w:r>
          </w:p>
        </w:tc>
        <w:tc>
          <w:tcPr>
            <w:tcW w:w="50" w:type="pct"/>
            <w:shd w:val="clear" w:color="auto" w:fill="FFFFFF"/>
            <w:hideMark/>
          </w:tcPr>
          <w:p w14:paraId="17C0FF9D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21AE753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13)  ¿Cuál de estas afirmaciones es correcta?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7760D829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743B5F6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25911110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C7F1B9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94857E5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9519348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lastRenderedPageBreak/>
        <w:br/>
      </w:r>
    </w:p>
    <w:p w14:paraId="298C0AB2" w14:textId="536DB1A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6DC8980">
          <v:shape id="_x0000_i1254" type="#_x0000_t75" style="width:20.25pt;height:18pt" o:ole="">
            <v:imagedata r:id="rId6" o:title=""/>
          </v:shape>
          <w:control r:id="rId68" w:name="DefaultOcxName48" w:shapeid="_x0000_i125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Cuando el precio del futuro es superior al contado (spot) F&gt;S se conoce como backwardation</w:t>
      </w:r>
    </w:p>
    <w:p w14:paraId="7C832AD3" w14:textId="731B5CFE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593D6DB">
          <v:shape id="_x0000_i1253" type="#_x0000_t75" style="width:20.25pt;height:18pt" o:ole="">
            <v:imagedata r:id="rId4" o:title=""/>
          </v:shape>
          <w:control r:id="rId69" w:name="DefaultOcxName49" w:shapeid="_x0000_i125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Cuando el precio del futuro es inferior al contado (spot) F</w:t>
      </w:r>
    </w:p>
    <w:p w14:paraId="4F0ECA87" w14:textId="299480D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3A66F51">
          <v:shape id="_x0000_i1252" type="#_x0000_t75" style="width:20.25pt;height:18pt" o:ole="">
            <v:imagedata r:id="rId6" o:title=""/>
          </v:shape>
          <w:control r:id="rId70" w:name="DefaultOcxName50" w:shapeid="_x0000_i125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Ambas</w:t>
      </w:r>
    </w:p>
    <w:p w14:paraId="057C69D9" w14:textId="2DA34936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3095583">
          <v:shape id="_x0000_i1251" type="#_x0000_t75" style="width:20.25pt;height:18pt" o:ole="">
            <v:imagedata r:id="rId6" o:title=""/>
          </v:shape>
          <w:control r:id="rId71" w:name="DefaultOcxName51" w:shapeid="_x0000_i125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</w:t>
      </w:r>
    </w:p>
    <w:p w14:paraId="10F56448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114C558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4E39ABD" w14:textId="34AD74A3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7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8224953" wp14:editId="68EF055B">
              <wp:extent cx="200025" cy="123825"/>
              <wp:effectExtent l="0" t="0" r="9525" b="9525"/>
              <wp:docPr id="7" name="Imagen 7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2AB3E901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2" w:name="64048"/>
      <w:bookmarkEnd w:id="1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090E07BD" w14:textId="77777777" w:rsidTr="00763C49">
        <w:tc>
          <w:tcPr>
            <w:tcW w:w="50" w:type="pct"/>
            <w:shd w:val="clear" w:color="auto" w:fill="FFFFFF"/>
            <w:hideMark/>
          </w:tcPr>
          <w:p w14:paraId="52FE828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[14]</w:t>
            </w:r>
          </w:p>
        </w:tc>
        <w:tc>
          <w:tcPr>
            <w:tcW w:w="50" w:type="pct"/>
            <w:shd w:val="clear" w:color="auto" w:fill="FFFFFF"/>
            <w:hideMark/>
          </w:tcPr>
          <w:p w14:paraId="08E1A97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42E2353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14)  Cuando el futuro tiene como activo subyacente un activo de consumo, además del costo de financiamiento, ¿qué otros costos deberán tenerse en cuenta?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14EB57A0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7A4B964D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5667E2E2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D21477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6A77E725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238D5F28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018846B2" w14:textId="44BAF98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663BA9D">
          <v:shape id="_x0000_i1250" type="#_x0000_t75" style="width:20.25pt;height:18pt" o:ole="">
            <v:imagedata r:id="rId6" o:title=""/>
          </v:shape>
          <w:control r:id="rId73" w:name="DefaultOcxName52" w:shapeid="_x0000_i125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Almacenamiento</w:t>
      </w:r>
    </w:p>
    <w:p w14:paraId="640CC0E0" w14:textId="754B43C0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5AFADB1F">
          <v:shape id="_x0000_i1249" type="#_x0000_t75" style="width:20.25pt;height:18pt" o:ole="">
            <v:imagedata r:id="rId6" o:title=""/>
          </v:shape>
          <w:control r:id="rId74" w:name="DefaultOcxName53" w:shapeid="_x0000_i124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Seguro</w:t>
      </w:r>
    </w:p>
    <w:p w14:paraId="585043A4" w14:textId="5C5F4F2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4B5160B">
          <v:shape id="_x0000_i1248" type="#_x0000_t75" style="width:20.25pt;height:18pt" o:ole="">
            <v:imagedata r:id="rId6" o:title=""/>
          </v:shape>
          <w:control r:id="rId75" w:name="DefaultOcxName54" w:shapeid="_x0000_i124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Transporte</w:t>
      </w:r>
    </w:p>
    <w:p w14:paraId="1A3FCFF5" w14:textId="0C930303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21B7F69">
          <v:shape id="_x0000_i1247" type="#_x0000_t75" style="width:20.25pt;height:18pt" o:ole="">
            <v:imagedata r:id="rId4" o:title=""/>
          </v:shape>
          <w:control r:id="rId76" w:name="DefaultOcxName55" w:shapeid="_x0000_i124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Todos los anteriores</w:t>
      </w:r>
    </w:p>
    <w:p w14:paraId="1D19BAA1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F19770B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EF8E8EB" w14:textId="2DC3AA7A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7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43F3A9B3" wp14:editId="5CBBDABF">
              <wp:extent cx="200025" cy="123825"/>
              <wp:effectExtent l="0" t="0" r="9525" b="9525"/>
              <wp:docPr id="6" name="Imagen 6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7E0C4606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3" w:name="64049"/>
      <w:bookmarkEnd w:id="13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0DC3531B" w14:textId="77777777" w:rsidTr="00763C49">
        <w:tc>
          <w:tcPr>
            <w:tcW w:w="50" w:type="pct"/>
            <w:shd w:val="clear" w:color="auto" w:fill="FFFFFF"/>
            <w:hideMark/>
          </w:tcPr>
          <w:p w14:paraId="37E75F66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[15]</w:t>
            </w:r>
          </w:p>
        </w:tc>
        <w:tc>
          <w:tcPr>
            <w:tcW w:w="50" w:type="pct"/>
            <w:shd w:val="clear" w:color="auto" w:fill="FFFFFF"/>
            <w:hideMark/>
          </w:tcPr>
          <w:p w14:paraId="4243926A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54B57D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15)  Frente a un escenario alcista de un activo subyacente, ¿cuáles son las estrategias correctas?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0D42D430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1957EC5B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429AC256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1325B7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61E237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7D2EE02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5201A1E2" w14:textId="03EA790B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75C20799">
          <v:shape id="_x0000_i1246" type="#_x0000_t75" style="width:20.25pt;height:18pt" o:ole="">
            <v:imagedata r:id="rId4" o:title=""/>
          </v:shape>
          <w:control r:id="rId78" w:name="DefaultOcxName56" w:shapeid="_x0000_i124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Comprar un call</w:t>
      </w:r>
    </w:p>
    <w:p w14:paraId="23AC4F2B" w14:textId="1081E2B5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FAA750A">
          <v:shape id="_x0000_i1245" type="#_x0000_t75" style="width:20.25pt;height:18pt" o:ole="">
            <v:imagedata r:id="rId6" o:title=""/>
          </v:shape>
          <w:control r:id="rId79" w:name="DefaultOcxName57" w:shapeid="_x0000_i124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Vender un put</w:t>
      </w:r>
    </w:p>
    <w:p w14:paraId="2465E5F6" w14:textId="4AB37E7D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958CF3C">
          <v:shape id="_x0000_i1244" type="#_x0000_t75" style="width:20.25pt;height:18pt" o:ole="">
            <v:imagedata r:id="rId6" o:title=""/>
          </v:shape>
          <w:control r:id="rId80" w:name="DefaultOcxName58" w:shapeid="_x0000_i124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Lanzamiento cubierto</w:t>
      </w:r>
    </w:p>
    <w:p w14:paraId="7433D0D3" w14:textId="0B67F90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F12F908">
          <v:shape id="_x0000_i1243" type="#_x0000_t75" style="width:20.25pt;height:18pt" o:ole="">
            <v:imagedata r:id="rId6" o:title=""/>
          </v:shape>
          <w:control r:id="rId81" w:name="DefaultOcxName59" w:shapeid="_x0000_i124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Todas las anteriores</w:t>
      </w:r>
    </w:p>
    <w:p w14:paraId="02DF3348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47BEF1C0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34D2D1F" w14:textId="020155C6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8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35E85F47" wp14:editId="0C99C403">
              <wp:extent cx="200025" cy="123825"/>
              <wp:effectExtent l="0" t="0" r="9525" b="9525"/>
              <wp:docPr id="5" name="Imagen 5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42C8A4A0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4" w:name="64050"/>
      <w:bookmarkEnd w:id="14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6A4E37DB" w14:textId="77777777" w:rsidTr="00763C49">
        <w:tc>
          <w:tcPr>
            <w:tcW w:w="50" w:type="pct"/>
            <w:shd w:val="clear" w:color="auto" w:fill="FFFFFF"/>
            <w:hideMark/>
          </w:tcPr>
          <w:p w14:paraId="266067F8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[16]</w:t>
            </w:r>
          </w:p>
        </w:tc>
        <w:tc>
          <w:tcPr>
            <w:tcW w:w="50" w:type="pct"/>
            <w:shd w:val="clear" w:color="auto" w:fill="FFFFFF"/>
            <w:hideMark/>
          </w:tcPr>
          <w:p w14:paraId="5B81576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C03011C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16)  Un lanzamiento cubierto se compone de los siguientes operaciones: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7A0FEE27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55C1BE99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69AB1BA4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B9DEF5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64505D16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030543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691B9A2B" w14:textId="378FF6C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lastRenderedPageBreak/>
        <w:object w:dxaOrig="1440" w:dyaOrig="1440" w14:anchorId="2E9C098D">
          <v:shape id="_x0000_i1242" type="#_x0000_t75" style="width:20.25pt;height:18pt" o:ole="">
            <v:imagedata r:id="rId6" o:title=""/>
          </v:shape>
          <w:control r:id="rId83" w:name="DefaultOcxName60" w:shapeid="_x0000_i124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corta en activo subyacente y compra de una opción de compra (call)</w:t>
      </w:r>
    </w:p>
    <w:p w14:paraId="62F65BCE" w14:textId="3F198B48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3272922">
          <v:shape id="_x0000_i1241" type="#_x0000_t75" style="width:20.25pt;height:18pt" o:ole="">
            <v:imagedata r:id="rId4" o:title=""/>
          </v:shape>
          <w:control r:id="rId84" w:name="DefaultOcxName61" w:shapeid="_x0000_i124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larga activo subyacente y venta de una opción de compra (call)</w:t>
      </w:r>
    </w:p>
    <w:p w14:paraId="202CD52A" w14:textId="766363EE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061DF10">
          <v:shape id="_x0000_i1240" type="#_x0000_t75" style="width:20.25pt;height:18pt" o:ole="">
            <v:imagedata r:id="rId6" o:title=""/>
          </v:shape>
          <w:control r:id="rId85" w:name="DefaultOcxName62" w:shapeid="_x0000_i124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corta en activo subyacente y venta de una opción de compra (call)</w:t>
      </w:r>
    </w:p>
    <w:p w14:paraId="72FA723D" w14:textId="50AC7498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5B716E5">
          <v:shape id="_x0000_i1239" type="#_x0000_t75" style="width:20.25pt;height:18pt" o:ole="">
            <v:imagedata r:id="rId6" o:title=""/>
          </v:shape>
          <w:control r:id="rId86" w:name="DefaultOcxName63" w:shapeid="_x0000_i123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0CFD810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44BAE8D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16743C3B" w14:textId="3CA8B446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8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1BF61DDF" wp14:editId="22E4C00F">
              <wp:extent cx="200025" cy="123825"/>
              <wp:effectExtent l="0" t="0" r="9525" b="9525"/>
              <wp:docPr id="4" name="Imagen 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4375138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5" w:name="64051"/>
      <w:bookmarkEnd w:id="1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075A11E1" w14:textId="77777777" w:rsidTr="00763C49">
        <w:tc>
          <w:tcPr>
            <w:tcW w:w="50" w:type="pct"/>
            <w:shd w:val="clear" w:color="auto" w:fill="FFFFFF"/>
            <w:hideMark/>
          </w:tcPr>
          <w:p w14:paraId="59338425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[17]</w:t>
            </w:r>
          </w:p>
        </w:tc>
        <w:tc>
          <w:tcPr>
            <w:tcW w:w="50" w:type="pct"/>
            <w:shd w:val="clear" w:color="auto" w:fill="FFFFFF"/>
            <w:hideMark/>
          </w:tcPr>
          <w:p w14:paraId="28615F20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8B26BE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17)  Un lanzamiento cubierto es una estrategia que permite: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3F406851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256CA9D3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4324DF5D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BBC943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7899CC52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24EEAF17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3BFB9A7" w14:textId="777E7B4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BE4AB3C">
          <v:shape id="_x0000_i1238" type="#_x0000_t75" style="width:20.25pt;height:18pt" o:ole="">
            <v:imagedata r:id="rId6" o:title=""/>
          </v:shape>
          <w:control r:id="rId88" w:name="DefaultOcxName64" w:shapeid="_x0000_i123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Devengar tasa de interés en tiempos de alta volatilidad</w:t>
      </w:r>
    </w:p>
    <w:p w14:paraId="1D4233A1" w14:textId="448823C8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E89F19E">
          <v:shape id="_x0000_i1237" type="#_x0000_t75" style="width:20.25pt;height:18pt" o:ole="">
            <v:imagedata r:id="rId6" o:title=""/>
          </v:shape>
          <w:control r:id="rId89" w:name="DefaultOcxName65" w:shapeid="_x0000_i123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Especular a una suba en el activo subyacente</w:t>
      </w:r>
    </w:p>
    <w:p w14:paraId="0FC379FD" w14:textId="32A7A3AA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2D07058E">
          <v:shape id="_x0000_i1236" type="#_x0000_t75" style="width:20.25pt;height:18pt" o:ole="">
            <v:imagedata r:id="rId4" o:title=""/>
          </v:shape>
          <w:control r:id="rId90" w:name="DefaultOcxName66" w:shapeid="_x0000_i123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Protegerse de una baja en el activo subyacente y devengar tasa en tiempos de baja volatilidad</w:t>
      </w:r>
    </w:p>
    <w:p w14:paraId="592B91DC" w14:textId="7AC1F563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16CD32F">
          <v:shape id="_x0000_i1235" type="#_x0000_t75" style="width:20.25pt;height:18pt" o:ole="">
            <v:imagedata r:id="rId6" o:title=""/>
          </v:shape>
          <w:control r:id="rId91" w:name="DefaultOcxName67" w:shapeid="_x0000_i123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7787928A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270DAE5F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52E73E43" w14:textId="6A7B4E1B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9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46EE6733" wp14:editId="59AA047E">
              <wp:extent cx="200025" cy="123825"/>
              <wp:effectExtent l="0" t="0" r="9525" b="9525"/>
              <wp:docPr id="3" name="Imagen 3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C4C82AF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6" w:name="64052"/>
      <w:bookmarkEnd w:id="16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31F77FFF" w14:textId="77777777" w:rsidTr="00763C49">
        <w:tc>
          <w:tcPr>
            <w:tcW w:w="50" w:type="pct"/>
            <w:shd w:val="clear" w:color="auto" w:fill="FFFFFF"/>
            <w:hideMark/>
          </w:tcPr>
          <w:p w14:paraId="6E3E2E1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[18]</w:t>
            </w:r>
          </w:p>
        </w:tc>
        <w:tc>
          <w:tcPr>
            <w:tcW w:w="50" w:type="pct"/>
            <w:shd w:val="clear" w:color="auto" w:fill="FFFFFF"/>
            <w:hideMark/>
          </w:tcPr>
          <w:p w14:paraId="627B233C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903B0CE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0DA299EB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18)  Una estrategia de dólar sintético se compone de las siguientes operaciones: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5EF19C9A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7EF6393E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3E57E352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FEF709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CB88C7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7611A4F2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1DF1D26D" w14:textId="6233989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2F9E10D">
          <v:shape id="_x0000_i1234" type="#_x0000_t75" style="width:20.25pt;height:18pt" o:ole="">
            <v:imagedata r:id="rId4" o:title=""/>
          </v:shape>
          <w:control r:id="rId93" w:name="DefaultOcxName68" w:shapeid="_x0000_i123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larga en LEBAC y compra de dólar futuro</w:t>
      </w:r>
    </w:p>
    <w:p w14:paraId="61225279" w14:textId="55F20067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73B86A5">
          <v:shape id="_x0000_i1233" type="#_x0000_t75" style="width:20.25pt;height:18pt" o:ole="">
            <v:imagedata r:id="rId6" o:title=""/>
          </v:shape>
          <w:control r:id="rId94" w:name="DefaultOcxName69" w:shapeid="_x0000_i123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larga en LEBAC y venta de dólar futuro</w:t>
      </w:r>
    </w:p>
    <w:p w14:paraId="7CC2D29B" w14:textId="06A12FD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1A91008">
          <v:shape id="_x0000_i1232" type="#_x0000_t75" style="width:20.25pt;height:18pt" o:ole="">
            <v:imagedata r:id="rId6" o:title=""/>
          </v:shape>
          <w:control r:id="rId95" w:name="DefaultOcxName70" w:shapeid="_x0000_i1232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corta en LEBAC y compra de dólar futuro</w:t>
      </w:r>
    </w:p>
    <w:p w14:paraId="59167EAA" w14:textId="0B07F6CF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DD8BD34">
          <v:shape id="_x0000_i1231" type="#_x0000_t75" style="width:20.25pt;height:18pt" o:ole="">
            <v:imagedata r:id="rId6" o:title=""/>
          </v:shape>
          <w:control r:id="rId96" w:name="DefaultOcxName71" w:shapeid="_x0000_i1231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4F06316C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BA2EB21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7423243B" w14:textId="46239906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97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1EDF3382" wp14:editId="023BAB34">
              <wp:extent cx="200025" cy="123825"/>
              <wp:effectExtent l="0" t="0" r="9525" b="9525"/>
              <wp:docPr id="2" name="Imagen 2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331E412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7" w:name="64053"/>
      <w:bookmarkEnd w:id="1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4C5A6435" w14:textId="77777777" w:rsidTr="00763C49">
        <w:tc>
          <w:tcPr>
            <w:tcW w:w="50" w:type="pct"/>
            <w:shd w:val="clear" w:color="auto" w:fill="FFFFFF"/>
            <w:hideMark/>
          </w:tcPr>
          <w:p w14:paraId="2C074B1A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[19]</w:t>
            </w:r>
          </w:p>
        </w:tc>
        <w:tc>
          <w:tcPr>
            <w:tcW w:w="50" w:type="pct"/>
            <w:shd w:val="clear" w:color="auto" w:fill="FFFFFF"/>
            <w:hideMark/>
          </w:tcPr>
          <w:p w14:paraId="2ED8DFA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087417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19)  ¿Qué tipo de clientes implementarían una estrategia de dólar sintético?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2B8CBA44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42C31487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3D1C5C22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F75FA0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04076A7C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0D2846A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372EBBD0" w14:textId="75FBD375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73C7BDDE">
          <v:shape id="_x0000_i1230" type="#_x0000_t75" style="width:20.25pt;height:18pt" o:ole="">
            <v:imagedata r:id="rId6" o:title=""/>
          </v:shape>
          <w:control r:id="rId98" w:name="DefaultOcxName72" w:shapeid="_x0000_i1230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Importadores con compromisos en dólares</w:t>
      </w:r>
    </w:p>
    <w:p w14:paraId="16E7E438" w14:textId="49FABE35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lastRenderedPageBreak/>
        <w:object w:dxaOrig="1440" w:dyaOrig="1440" w14:anchorId="50CBDDF7">
          <v:shape id="_x0000_i1229" type="#_x0000_t75" style="width:20.25pt;height:18pt" o:ole="">
            <v:imagedata r:id="rId6" o:title=""/>
          </v:shape>
          <w:control r:id="rId99" w:name="DefaultOcxName73" w:shapeid="_x0000_i1229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Exportadores que liquiden dólares</w:t>
      </w:r>
    </w:p>
    <w:p w14:paraId="592B0106" w14:textId="50FE83F9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80F315C">
          <v:shape id="_x0000_i1228" type="#_x0000_t75" style="width:20.25pt;height:18pt" o:ole="">
            <v:imagedata r:id="rId6" o:title=""/>
          </v:shape>
          <w:control r:id="rId100" w:name="DefaultOcxName74" w:shapeid="_x0000_i1228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Empresas que se financian en mercados externos en dólares</w:t>
      </w:r>
    </w:p>
    <w:p w14:paraId="61D3245C" w14:textId="6343BD4C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39E56E17">
          <v:shape id="_x0000_i1227" type="#_x0000_t75" style="width:20.25pt;height:18pt" o:ole="">
            <v:imagedata r:id="rId4" o:title=""/>
          </v:shape>
          <w:control r:id="rId101" w:name="DefaultOcxName75" w:shapeid="_x0000_i1227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Todas las anteriores</w:t>
      </w:r>
    </w:p>
    <w:p w14:paraId="7C26CDD0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77B29015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184E68A6" w14:textId="7C1617CE" w:rsidR="00763C49" w:rsidRPr="00763C49" w:rsidRDefault="00763C49" w:rsidP="00763C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02" w:anchor="GRL" w:history="1">
        <w:r w:rsidRPr="00763C4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31BD2FC3" wp14:editId="21F982A7">
              <wp:extent cx="200025" cy="123825"/>
              <wp:effectExtent l="0" t="0" r="9525" b="9525"/>
              <wp:docPr id="1" name="Imagen 1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3C4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131154E4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bookmarkStart w:id="18" w:name="64054"/>
      <w:bookmarkEnd w:id="18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"/>
        <w:gridCol w:w="8054"/>
      </w:tblGrid>
      <w:tr w:rsidR="00763C49" w:rsidRPr="00763C49" w14:paraId="68A04F08" w14:textId="77777777" w:rsidTr="00763C49">
        <w:tc>
          <w:tcPr>
            <w:tcW w:w="50" w:type="pct"/>
            <w:shd w:val="clear" w:color="auto" w:fill="FFFFFF"/>
            <w:hideMark/>
          </w:tcPr>
          <w:p w14:paraId="1AF2653B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[20]</w:t>
            </w:r>
          </w:p>
        </w:tc>
        <w:tc>
          <w:tcPr>
            <w:tcW w:w="50" w:type="pct"/>
            <w:shd w:val="clear" w:color="auto" w:fill="FFFFFF"/>
            <w:hideMark/>
          </w:tcPr>
          <w:p w14:paraId="602236F6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BA373DB" w14:textId="77777777" w:rsidR="00763C49" w:rsidRPr="00763C49" w:rsidRDefault="00763C49" w:rsidP="00763C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63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20)  Una estrategia de peso sintético se compone de las siguientes operaciones: </w:t>
            </w:r>
            <w:r w:rsidRPr="00763C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</w:tr>
      <w:tr w:rsidR="00763C49" w:rsidRPr="00763C49" w14:paraId="38B16998" w14:textId="77777777" w:rsidTr="00763C49">
        <w:tc>
          <w:tcPr>
            <w:tcW w:w="0" w:type="auto"/>
            <w:shd w:val="clear" w:color="auto" w:fill="FFFFFF"/>
            <w:vAlign w:val="center"/>
            <w:hideMark/>
          </w:tcPr>
          <w:p w14:paraId="6904C1C4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63C49" w:rsidRPr="00763C49" w14:paraId="380D47E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8A7090" w14:textId="77777777" w:rsidR="00763C49" w:rsidRPr="00763C49" w:rsidRDefault="00763C49" w:rsidP="00763C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708BA7CD" w14:textId="77777777" w:rsidR="00763C49" w:rsidRPr="00763C49" w:rsidRDefault="00763C49" w:rsidP="00763C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092CCB75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1685F5D0" w14:textId="2E8518E1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41DE29A6">
          <v:shape id="_x0000_i1226" type="#_x0000_t75" style="width:20.25pt;height:18pt" o:ole="">
            <v:imagedata r:id="rId4" o:title=""/>
          </v:shape>
          <w:control r:id="rId103" w:name="DefaultOcxName76" w:shapeid="_x0000_i1226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larga en LETE y compra de dólar futuro</w:t>
      </w:r>
    </w:p>
    <w:p w14:paraId="2C33E9C8" w14:textId="7B1EE14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02F0AF08">
          <v:shape id="_x0000_i1225" type="#_x0000_t75" style="width:20.25pt;height:18pt" o:ole="">
            <v:imagedata r:id="rId6" o:title=""/>
          </v:shape>
          <w:control r:id="rId104" w:name="DefaultOcxName77" w:shapeid="_x0000_i1225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corta en LETE y compra de dólar futuro</w:t>
      </w:r>
    </w:p>
    <w:p w14:paraId="5E9C607E" w14:textId="7267DDC6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667784B2">
          <v:shape id="_x0000_i1224" type="#_x0000_t75" style="width:20.25pt;height:18pt" o:ole="">
            <v:imagedata r:id="rId6" o:title=""/>
          </v:shape>
          <w:control r:id="rId105" w:name="DefaultOcxName78" w:shapeid="_x0000_i1224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Posición corta en LETE y venta de dólar futuro</w:t>
      </w:r>
    </w:p>
    <w:p w14:paraId="302E9C83" w14:textId="2FEFAC64" w:rsidR="00763C49" w:rsidRPr="00763C49" w:rsidRDefault="00763C49" w:rsidP="00763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object w:dxaOrig="1440" w:dyaOrig="1440" w14:anchorId="122A82C0">
          <v:shape id="_x0000_i1223" type="#_x0000_t75" style="width:20.25pt;height:18pt" o:ole="">
            <v:imagedata r:id="rId6" o:title=""/>
          </v:shape>
          <w:control r:id="rId106" w:name="DefaultOcxName79" w:shapeid="_x0000_i1223"/>
        </w:object>
      </w:r>
      <w:r w:rsidRPr="00763C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 Ninguna de las anteriores</w:t>
      </w:r>
    </w:p>
    <w:p w14:paraId="07372629" w14:textId="77777777" w:rsidR="00763C49" w:rsidRPr="00763C49" w:rsidRDefault="00763C49" w:rsidP="0076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C4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14:paraId="69BF9AD4" w14:textId="77777777" w:rsidR="00763C49" w:rsidRPr="00763C49" w:rsidRDefault="00763C49" w:rsidP="00763C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763C4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Puntaje: 5</w:t>
      </w:r>
    </w:p>
    <w:p w14:paraId="0A7570C8" w14:textId="77777777" w:rsidR="005052DF" w:rsidRPr="00763C49" w:rsidRDefault="005052DF" w:rsidP="00763C49"/>
    <w:sectPr w:rsidR="005052DF" w:rsidRPr="0076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9"/>
    <w:rsid w:val="005052DF"/>
    <w:rsid w:val="0076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A4D3"/>
  <w15:chartTrackingRefBased/>
  <w15:docId w15:val="{47C9BDA8-B4CB-420A-AAA0-2255AE23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6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63C4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63C4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63C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4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6.xml"/><Relationship Id="rId7" Type="http://schemas.openxmlformats.org/officeDocument/2006/relationships/control" Target="activeX/activeX2.xml"/><Relationship Id="rId71" Type="http://schemas.openxmlformats.org/officeDocument/2006/relationships/control" Target="activeX/activeX52.xml"/><Relationship Id="rId9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8.xml"/><Relationship Id="rId107" Type="http://schemas.openxmlformats.org/officeDocument/2006/relationships/fontTable" Target="fontTable.xml"/><Relationship Id="rId11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#GRL" TargetMode="External"/><Relationship Id="rId24" Type="http://schemas.openxmlformats.org/officeDocument/2006/relationships/control" Target="activeX/activeX14.xml"/><Relationship Id="rId3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3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control" Target="activeX/activeX48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8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10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5" Type="http://schemas.openxmlformats.org/officeDocument/2006/relationships/control" Target="activeX/activeX1.xml"/><Relationship Id="rId61" Type="http://schemas.openxmlformats.org/officeDocument/2006/relationships/control" Target="activeX/activeX44.xml"/><Relationship Id="rId8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2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7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8" Type="http://schemas.openxmlformats.org/officeDocument/2006/relationships/control" Target="activeX/activeX3.xml"/><Relationship Id="rId51" Type="http://schemas.openxmlformats.org/officeDocument/2006/relationships/control" Target="activeX/activeX36.xml"/><Relationship Id="rId7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103" Type="http://schemas.openxmlformats.org/officeDocument/2006/relationships/control" Target="activeX/activeX77.xml"/><Relationship Id="rId108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106" Type="http://schemas.openxmlformats.org/officeDocument/2006/relationships/control" Target="activeX/activeX80.xml"/><Relationship Id="rId10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hyperlink" Target="https://miubp-ec.ubp.edu.ar/index.php?PHPSESSID=D6FC672970DD44E29F882139C63BAF62&amp;action=EvaluacionesResp&amp;nro_curso=2227&amp;cohorte=202101&amp;nro_leg_alumno=134488&amp;nro_grupo=&amp;cod_tipo_evaluacion=EF&amp;nro_evaluacion=5&amp;nro_intento=1&amp;nro_actividad=19628&amp;responde=6&amp;retAction=EvaluacionesAlumnoCohEc&amp;fecha_entrega=12/09/2021%2023:59" TargetMode="External"/><Relationship Id="rId104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2328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2021-09-06T21:49:00Z</dcterms:created>
  <dcterms:modified xsi:type="dcterms:W3CDTF">2021-09-06T21:50:00Z</dcterms:modified>
</cp:coreProperties>
</file>