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46919" w14:textId="76DCFB12" w:rsidR="00483973" w:rsidRDefault="00483973" w:rsidP="00483973">
      <w:pPr>
        <w:pStyle w:val="Ttulo1"/>
        <w:rPr>
          <w:b/>
          <w:bCs/>
          <w:sz w:val="36"/>
          <w:szCs w:val="36"/>
          <w:shd w:val="clear" w:color="auto" w:fill="FFFFFF"/>
        </w:rPr>
      </w:pPr>
      <w:r w:rsidRPr="00483973">
        <w:rPr>
          <w:b/>
          <w:bCs/>
          <w:sz w:val="36"/>
          <w:szCs w:val="36"/>
          <w:shd w:val="clear" w:color="auto" w:fill="FFFFFF"/>
        </w:rPr>
        <w:t>Plan integral para tus finanzas personales</w:t>
      </w:r>
      <w:r w:rsidR="004E3D0B">
        <w:rPr>
          <w:b/>
          <w:bCs/>
          <w:sz w:val="36"/>
          <w:szCs w:val="36"/>
          <w:shd w:val="clear" w:color="auto" w:fill="FFFFFF"/>
        </w:rPr>
        <w:t xml:space="preserve"> (Punto 5).</w:t>
      </w:r>
    </w:p>
    <w:p w14:paraId="3AB64B5C" w14:textId="77777777" w:rsidR="00483973" w:rsidRDefault="00483973" w:rsidP="000007AC">
      <w:pPr>
        <w:jc w:val="both"/>
        <w:rPr>
          <w:rFonts w:ascii="Arial" w:hAnsi="Arial" w:cs="Arial"/>
          <w:color w:val="000000"/>
          <w:sz w:val="20"/>
          <w:szCs w:val="20"/>
          <w:shd w:val="clear" w:color="auto" w:fill="FFFFFF"/>
        </w:rPr>
      </w:pPr>
    </w:p>
    <w:p w14:paraId="2489E347" w14:textId="6C20A066" w:rsidR="00646B28" w:rsidRPr="00A463BB" w:rsidRDefault="00646B28" w:rsidP="000007AC">
      <w:pPr>
        <w:jc w:val="both"/>
        <w:rPr>
          <w:b/>
          <w:bCs/>
          <w:u w:val="single"/>
          <w:lang w:val="es-ES"/>
        </w:rPr>
      </w:pPr>
      <w:r w:rsidRPr="00A463BB">
        <w:rPr>
          <w:b/>
          <w:bCs/>
          <w:u w:val="single"/>
          <w:lang w:val="es-ES"/>
        </w:rPr>
        <w:t>Objetivo de Corto Plazo:</w:t>
      </w:r>
    </w:p>
    <w:p w14:paraId="10D4BC25" w14:textId="49EEE275" w:rsidR="00646B28" w:rsidRDefault="000007AC" w:rsidP="000007AC">
      <w:pPr>
        <w:jc w:val="both"/>
        <w:rPr>
          <w:lang w:val="es-ES"/>
        </w:rPr>
      </w:pPr>
      <w:r>
        <w:rPr>
          <w:lang w:val="es-ES"/>
        </w:rPr>
        <w:t>Mantener una cartera de inversión diversificada en industrias que me representen como inversor</w:t>
      </w:r>
      <w:r w:rsidR="002D50A6">
        <w:rPr>
          <w:lang w:val="es-ES"/>
        </w:rPr>
        <w:t>: Desarrollo de software, comercio por internet, sector financiero, entretenimiento, tecnología, criptomonedas y considerar efectivo en moneda dura y fondos money market.</w:t>
      </w:r>
    </w:p>
    <w:p w14:paraId="2359E1B2" w14:textId="41EB67FB" w:rsidR="002D50A6" w:rsidRDefault="002D50A6" w:rsidP="000007AC">
      <w:pPr>
        <w:jc w:val="both"/>
        <w:rPr>
          <w:lang w:val="es-ES"/>
        </w:rPr>
      </w:pPr>
      <w:r>
        <w:rPr>
          <w:lang w:val="es-ES"/>
        </w:rPr>
        <w:t xml:space="preserve">Al comenzar a invertir es importante entender que la diversificación debe ser la base de nuestra cartera, independientemente del perfil de cada uno, por lo que la diversificación debe ser prioridad en el corto plazo. </w:t>
      </w:r>
    </w:p>
    <w:p w14:paraId="7F00EC49" w14:textId="77777777" w:rsidR="007B0063" w:rsidRDefault="007B0063" w:rsidP="000007AC">
      <w:pPr>
        <w:jc w:val="both"/>
        <w:rPr>
          <w:lang w:val="es-ES"/>
        </w:rPr>
      </w:pPr>
    </w:p>
    <w:p w14:paraId="07DEF74C" w14:textId="1C0E2FE7" w:rsidR="00646B28" w:rsidRPr="00A463BB" w:rsidRDefault="00646B28" w:rsidP="000007AC">
      <w:pPr>
        <w:jc w:val="both"/>
        <w:rPr>
          <w:b/>
          <w:bCs/>
          <w:u w:val="single"/>
          <w:lang w:val="es-ES"/>
        </w:rPr>
      </w:pPr>
      <w:r w:rsidRPr="00A463BB">
        <w:rPr>
          <w:b/>
          <w:bCs/>
          <w:u w:val="single"/>
          <w:lang w:val="es-ES"/>
        </w:rPr>
        <w:t>Objetivo de Mediano Plazo:</w:t>
      </w:r>
    </w:p>
    <w:p w14:paraId="6750655E" w14:textId="6C728961" w:rsidR="000007AC" w:rsidRDefault="000007AC" w:rsidP="000007AC">
      <w:pPr>
        <w:jc w:val="both"/>
        <w:rPr>
          <w:lang w:val="es-ES"/>
        </w:rPr>
      </w:pPr>
      <w:r>
        <w:rPr>
          <w:lang w:val="es-ES"/>
        </w:rPr>
        <w:t>Poder tener un fondo de emergencia, que cubra entre 6 meses y año de gastos fijos para cualquier eventualidad que pueda suceder.</w:t>
      </w:r>
    </w:p>
    <w:p w14:paraId="010D3724" w14:textId="6175A022" w:rsidR="002D50A6" w:rsidRDefault="002D50A6" w:rsidP="000007AC">
      <w:pPr>
        <w:jc w:val="both"/>
        <w:rPr>
          <w:lang w:val="es-ES"/>
        </w:rPr>
      </w:pPr>
      <w:r>
        <w:rPr>
          <w:lang w:val="es-ES"/>
        </w:rPr>
        <w:t>Para esto será importante la reinversión de cualquier ganancia que pueda haber en el corto plazo</w:t>
      </w:r>
      <w:r w:rsidR="001B1D21">
        <w:rPr>
          <w:lang w:val="es-ES"/>
        </w:rPr>
        <w:t>, como así también todos los meses detectar oportunidades de inversión dentro de las empresas que se tengan en seguimiento.  En este punto es importante en tender que no se debe “cargar” la cartera de inversión de acciones, es importante mantener un numero de entre 10 y 15 activos.</w:t>
      </w:r>
    </w:p>
    <w:p w14:paraId="788D1CAD" w14:textId="77777777" w:rsidR="007B0063" w:rsidRDefault="007B0063" w:rsidP="000007AC">
      <w:pPr>
        <w:jc w:val="both"/>
        <w:rPr>
          <w:lang w:val="es-ES"/>
        </w:rPr>
      </w:pPr>
    </w:p>
    <w:p w14:paraId="3DCC9CAF" w14:textId="1E54FAF8" w:rsidR="00646B28" w:rsidRPr="00A463BB" w:rsidRDefault="00646B28" w:rsidP="000007AC">
      <w:pPr>
        <w:jc w:val="both"/>
        <w:rPr>
          <w:b/>
          <w:bCs/>
          <w:u w:val="single"/>
          <w:lang w:val="es-ES"/>
        </w:rPr>
      </w:pPr>
      <w:r w:rsidRPr="00A463BB">
        <w:rPr>
          <w:b/>
          <w:bCs/>
          <w:u w:val="single"/>
          <w:lang w:val="es-ES"/>
        </w:rPr>
        <w:t>Objetivo de Largo Plazo:</w:t>
      </w:r>
    </w:p>
    <w:p w14:paraId="3D2CAB99" w14:textId="29B22A37" w:rsidR="000007AC" w:rsidRDefault="000007AC" w:rsidP="000007AC">
      <w:pPr>
        <w:jc w:val="both"/>
        <w:rPr>
          <w:lang w:val="es-ES"/>
        </w:rPr>
      </w:pPr>
      <w:r>
        <w:rPr>
          <w:lang w:val="es-ES"/>
        </w:rPr>
        <w:t>Poder desarrollar una espalda financiera que me permita poder transitar mi desarrollo</w:t>
      </w:r>
      <w:r w:rsidR="00714AFB">
        <w:rPr>
          <w:lang w:val="es-ES"/>
        </w:rPr>
        <w:t>,</w:t>
      </w:r>
      <w:r>
        <w:rPr>
          <w:lang w:val="es-ES"/>
        </w:rPr>
        <w:t xml:space="preserve"> tanto en mi vida personal como profesional</w:t>
      </w:r>
      <w:r w:rsidR="00714AFB">
        <w:rPr>
          <w:lang w:val="es-ES"/>
        </w:rPr>
        <w:t>,</w:t>
      </w:r>
      <w:r>
        <w:rPr>
          <w:lang w:val="es-ES"/>
        </w:rPr>
        <w:t xml:space="preserve"> sin que lo económico sea un inconveniente, independientemente de las condiciones macroeconómicas del país.</w:t>
      </w:r>
    </w:p>
    <w:p w14:paraId="330A461D" w14:textId="5892215E" w:rsidR="001B1D21" w:rsidRDefault="003B79EC" w:rsidP="000007AC">
      <w:pPr>
        <w:jc w:val="both"/>
        <w:rPr>
          <w:lang w:val="es-ES"/>
        </w:rPr>
      </w:pPr>
      <w:r>
        <w:rPr>
          <w:lang w:val="es-ES"/>
        </w:rPr>
        <w:t>En este punto será importante apoyarse en el interés compuesto, que a largo plazo termina beneficiando al inversor, por lo cual el trabajo que se haga en el corto y mediano plazo será importante para determinar cómo será la situación en el futuro. Por esto los activos que se seleccionen en el corto plazo deben ser pensados como empresas que tengan proyección a futuro.</w:t>
      </w:r>
    </w:p>
    <w:p w14:paraId="7916EB30" w14:textId="77777777" w:rsidR="007B0063" w:rsidRDefault="007B0063" w:rsidP="000007AC">
      <w:pPr>
        <w:jc w:val="both"/>
        <w:rPr>
          <w:lang w:val="es-ES"/>
        </w:rPr>
      </w:pPr>
    </w:p>
    <w:p w14:paraId="6682471E" w14:textId="0BA58AB5" w:rsidR="008B4F0D" w:rsidRPr="00A463BB" w:rsidRDefault="008B4F0D" w:rsidP="000007AC">
      <w:pPr>
        <w:jc w:val="both"/>
        <w:rPr>
          <w:b/>
          <w:bCs/>
          <w:u w:val="single"/>
          <w:lang w:val="es-ES"/>
        </w:rPr>
      </w:pPr>
      <w:r w:rsidRPr="00A463BB">
        <w:rPr>
          <w:b/>
          <w:bCs/>
          <w:u w:val="single"/>
          <w:lang w:val="es-ES"/>
        </w:rPr>
        <w:t>Valor fundamental tras el objetivo</w:t>
      </w:r>
    </w:p>
    <w:p w14:paraId="68C700EB" w14:textId="1C73E933" w:rsidR="008B4F0D" w:rsidRDefault="008B4F0D" w:rsidP="000007AC">
      <w:pPr>
        <w:jc w:val="both"/>
        <w:rPr>
          <w:lang w:val="es-ES"/>
        </w:rPr>
      </w:pPr>
      <w:r>
        <w:rPr>
          <w:lang w:val="es-ES"/>
        </w:rPr>
        <w:t xml:space="preserve">Cuando logre mis objetivos podre brindarle estabilidad a mi familia y poder dedicar mi tiempo a lo que realmente me motive y me permita lograr mi mejor versión. </w:t>
      </w:r>
    </w:p>
    <w:p w14:paraId="25C60DDD" w14:textId="18ED4C95" w:rsidR="003A4043" w:rsidRDefault="003A4043" w:rsidP="000007AC">
      <w:pPr>
        <w:jc w:val="both"/>
        <w:rPr>
          <w:b/>
          <w:bCs/>
          <w:i/>
          <w:iCs/>
          <w:lang w:val="es-ES"/>
        </w:rPr>
      </w:pPr>
      <w:r>
        <w:rPr>
          <w:lang w:val="es-ES"/>
        </w:rPr>
        <w:t xml:space="preserve">Lo económico suele ser un factor determinante en lo que hacemos y en las decisiones que tomamos, por lo que eliminar este factor claramente hará que pueda vivir una vida más plena y satisfactoria. </w:t>
      </w:r>
      <w:r w:rsidR="00E8798A">
        <w:rPr>
          <w:lang w:val="es-ES"/>
        </w:rPr>
        <w:t xml:space="preserve">Para definirlo en una frase; </w:t>
      </w:r>
      <w:r w:rsidR="00E8798A" w:rsidRPr="00E8798A">
        <w:rPr>
          <w:b/>
          <w:bCs/>
          <w:i/>
          <w:iCs/>
          <w:lang w:val="es-ES"/>
        </w:rPr>
        <w:t>“hacer lo que quiero, sin que lo económico sea un factor importante”</w:t>
      </w:r>
      <w:r w:rsidR="003F4730">
        <w:rPr>
          <w:b/>
          <w:bCs/>
          <w:i/>
          <w:iCs/>
          <w:lang w:val="es-ES"/>
        </w:rPr>
        <w:t>.</w:t>
      </w:r>
    </w:p>
    <w:p w14:paraId="629FC1D6" w14:textId="77777777" w:rsidR="003F4730" w:rsidRDefault="003F4730" w:rsidP="000007AC">
      <w:pPr>
        <w:jc w:val="both"/>
        <w:rPr>
          <w:b/>
          <w:bCs/>
          <w:i/>
          <w:iCs/>
          <w:lang w:val="es-ES"/>
        </w:rPr>
      </w:pPr>
    </w:p>
    <w:p w14:paraId="0A2455CA" w14:textId="41ED8F8D" w:rsidR="0006753F" w:rsidRDefault="0006753F" w:rsidP="000007AC">
      <w:pPr>
        <w:jc w:val="both"/>
        <w:rPr>
          <w:rFonts w:ascii="Arial" w:hAnsi="Arial" w:cs="Arial"/>
          <w:b/>
          <w:bCs/>
          <w:color w:val="000000"/>
          <w:sz w:val="20"/>
          <w:szCs w:val="20"/>
          <w:u w:val="single"/>
          <w:shd w:val="clear" w:color="auto" w:fill="FFFFFF"/>
        </w:rPr>
      </w:pPr>
      <w:r w:rsidRPr="006D69CE">
        <w:rPr>
          <w:rFonts w:ascii="Arial" w:hAnsi="Arial" w:cs="Arial"/>
          <w:b/>
          <w:bCs/>
          <w:color w:val="000000"/>
          <w:sz w:val="20"/>
          <w:szCs w:val="20"/>
          <w:u w:val="single"/>
          <w:shd w:val="clear" w:color="auto" w:fill="FFFFFF"/>
        </w:rPr>
        <w:lastRenderedPageBreak/>
        <w:t>Barreras internas y externas que obstaculizan y cómo afrontarlos</w:t>
      </w:r>
    </w:p>
    <w:p w14:paraId="51A8E18C" w14:textId="7851BED7" w:rsidR="007C6443" w:rsidRDefault="007C6443" w:rsidP="000007AC">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Es muy importante que al momento de administrar nuestras inversiones no nos invadan las </w:t>
      </w:r>
      <w:r w:rsidRPr="00C97FA0">
        <w:rPr>
          <w:rFonts w:ascii="Arial" w:hAnsi="Arial" w:cs="Arial"/>
          <w:b/>
          <w:bCs/>
          <w:color w:val="000000"/>
          <w:sz w:val="20"/>
          <w:szCs w:val="20"/>
          <w:shd w:val="clear" w:color="auto" w:fill="FFFFFF"/>
        </w:rPr>
        <w:t>emociones</w:t>
      </w:r>
      <w:r>
        <w:rPr>
          <w:rFonts w:ascii="Arial" w:hAnsi="Arial" w:cs="Arial"/>
          <w:color w:val="000000"/>
          <w:sz w:val="20"/>
          <w:szCs w:val="20"/>
          <w:shd w:val="clear" w:color="auto" w:fill="FFFFFF"/>
        </w:rPr>
        <w:t xml:space="preserve">, y que actuemos en consecuencia, es decir, no actuar con miedo, con euforia, etc. Cuando no tenemos un buen rendimiento no somos los peores inversores del mundo, como así también, en los buenos momentos no somos los mejores. Siempre guiarse por lo por aprendido en la diplomatura y en el recorrido como inversor(experiencia), y entender cuales son los riesgos que implica actuar de manera emocional en el mercado de valores. Para esto es importante tener en claro cual es nuestro plan de inversión. </w:t>
      </w:r>
    </w:p>
    <w:p w14:paraId="7313334A" w14:textId="77777777" w:rsidR="007B0063" w:rsidRDefault="007B0063" w:rsidP="000007AC">
      <w:pPr>
        <w:jc w:val="both"/>
        <w:rPr>
          <w:rFonts w:ascii="Arial" w:hAnsi="Arial" w:cs="Arial"/>
          <w:color w:val="000000"/>
          <w:sz w:val="20"/>
          <w:szCs w:val="20"/>
          <w:shd w:val="clear" w:color="auto" w:fill="FFFFFF"/>
        </w:rPr>
      </w:pPr>
    </w:p>
    <w:p w14:paraId="65A4BEED" w14:textId="5589A9E9" w:rsidR="007C6443" w:rsidRDefault="007C6443" w:rsidP="000007AC">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Otra barrera, además de las emociones, puede ser la </w:t>
      </w:r>
      <w:r w:rsidRPr="00C97FA0">
        <w:rPr>
          <w:rFonts w:ascii="Arial" w:hAnsi="Arial" w:cs="Arial"/>
          <w:b/>
          <w:bCs/>
          <w:color w:val="000000"/>
          <w:sz w:val="20"/>
          <w:szCs w:val="20"/>
          <w:shd w:val="clear" w:color="auto" w:fill="FFFFFF"/>
        </w:rPr>
        <w:t>avaricia</w:t>
      </w:r>
      <w:r>
        <w:rPr>
          <w:rFonts w:ascii="Arial" w:hAnsi="Arial" w:cs="Arial"/>
          <w:color w:val="000000"/>
          <w:sz w:val="20"/>
          <w:szCs w:val="20"/>
          <w:shd w:val="clear" w:color="auto" w:fill="FFFFFF"/>
        </w:rPr>
        <w:t xml:space="preserve"> que puede haber cuando se buscan atajos con instrumentos o operaciones muy riesgosas buscando un rendimiento muy alto, para enfrentar esto es importante entender cual es el camino que se recorrido y hacia donde vamos, cual es la visión, </w:t>
      </w:r>
      <w:r w:rsidR="00C97FA0">
        <w:rPr>
          <w:rFonts w:ascii="Arial" w:hAnsi="Arial" w:cs="Arial"/>
          <w:color w:val="000000"/>
          <w:sz w:val="20"/>
          <w:szCs w:val="20"/>
          <w:shd w:val="clear" w:color="auto" w:fill="FFFFFF"/>
        </w:rPr>
        <w:t>y entender que a los grandes objetivos requieren de grandes esfuerzos, los cuales se implementaran en el largo plazo.</w:t>
      </w:r>
    </w:p>
    <w:p w14:paraId="1D48437C" w14:textId="77777777" w:rsidR="007B0063" w:rsidRPr="007C6443" w:rsidRDefault="007B0063" w:rsidP="000007AC">
      <w:pPr>
        <w:jc w:val="both"/>
        <w:rPr>
          <w:rFonts w:ascii="Arial" w:hAnsi="Arial" w:cs="Arial"/>
          <w:color w:val="000000"/>
          <w:sz w:val="20"/>
          <w:szCs w:val="20"/>
          <w:shd w:val="clear" w:color="auto" w:fill="FFFFFF"/>
        </w:rPr>
      </w:pPr>
    </w:p>
    <w:p w14:paraId="1B96B257" w14:textId="17D07CB3" w:rsidR="0006753F" w:rsidRDefault="006D69CE" w:rsidP="000007AC">
      <w:pPr>
        <w:jc w:val="both"/>
        <w:rPr>
          <w:b/>
          <w:bCs/>
          <w:u w:val="single"/>
          <w:lang w:val="es-ES"/>
        </w:rPr>
      </w:pPr>
      <w:r w:rsidRPr="006D69CE">
        <w:rPr>
          <w:b/>
          <w:bCs/>
          <w:u w:val="single"/>
          <w:lang w:val="es-ES"/>
        </w:rPr>
        <w:t>Estado actual de mis finanzas</w:t>
      </w:r>
      <w:r>
        <w:rPr>
          <w:b/>
          <w:bCs/>
          <w:u w:val="single"/>
          <w:lang w:val="es-ES"/>
        </w:rPr>
        <w:t>:</w:t>
      </w:r>
    </w:p>
    <w:p w14:paraId="344C9C3F" w14:textId="605C3835" w:rsidR="00524274" w:rsidRDefault="00524274" w:rsidP="00524274">
      <w:pPr>
        <w:pStyle w:val="Prrafodelista"/>
        <w:numPr>
          <w:ilvl w:val="0"/>
          <w:numId w:val="1"/>
        </w:numPr>
        <w:jc w:val="both"/>
        <w:rPr>
          <w:b/>
          <w:bCs/>
          <w:u w:val="single"/>
          <w:lang w:val="es-ES"/>
        </w:rPr>
      </w:pPr>
      <w:r>
        <w:rPr>
          <w:b/>
          <w:bCs/>
          <w:u w:val="single"/>
          <w:lang w:val="es-ES"/>
        </w:rPr>
        <w:t>Activo</w:t>
      </w:r>
      <w:r w:rsidR="00C97FA0">
        <w:rPr>
          <w:b/>
          <w:bCs/>
          <w:u w:val="single"/>
          <w:lang w:val="es-ES"/>
        </w:rPr>
        <w:t>s</w:t>
      </w:r>
    </w:p>
    <w:p w14:paraId="09BF30CF" w14:textId="61B73191" w:rsidR="00C97FA0" w:rsidRPr="00C97FA0" w:rsidRDefault="00483973" w:rsidP="00C97FA0">
      <w:pPr>
        <w:pStyle w:val="Prrafodelista"/>
        <w:numPr>
          <w:ilvl w:val="1"/>
          <w:numId w:val="1"/>
        </w:numPr>
        <w:jc w:val="both"/>
        <w:rPr>
          <w:lang w:val="es-ES"/>
        </w:rPr>
      </w:pPr>
      <w:r w:rsidRPr="00C97FA0">
        <w:rPr>
          <w:lang w:val="es-ES"/>
        </w:rPr>
        <w:t>Automóvil</w:t>
      </w:r>
      <w:r w:rsidR="00C97FA0" w:rsidRPr="00C97FA0">
        <w:rPr>
          <w:lang w:val="es-ES"/>
        </w:rPr>
        <w:t xml:space="preserve"> </w:t>
      </w:r>
      <w:r w:rsidRPr="00C97FA0">
        <w:rPr>
          <w:lang w:val="es-ES"/>
        </w:rPr>
        <w:t>Volkswagen</w:t>
      </w:r>
      <w:r w:rsidR="00C97FA0" w:rsidRPr="00C97FA0">
        <w:rPr>
          <w:lang w:val="es-ES"/>
        </w:rPr>
        <w:t xml:space="preserve"> Gol </w:t>
      </w:r>
      <w:proofErr w:type="spellStart"/>
      <w:r w:rsidR="00C97FA0" w:rsidRPr="00C97FA0">
        <w:rPr>
          <w:lang w:val="es-ES"/>
        </w:rPr>
        <w:t>Trend</w:t>
      </w:r>
      <w:proofErr w:type="spellEnd"/>
      <w:r w:rsidR="00C97FA0" w:rsidRPr="00C97FA0">
        <w:rPr>
          <w:lang w:val="es-ES"/>
        </w:rPr>
        <w:t xml:space="preserve"> 2013</w:t>
      </w:r>
      <w:r w:rsidR="00AE1E44">
        <w:rPr>
          <w:lang w:val="es-ES"/>
        </w:rPr>
        <w:t xml:space="preserve"> Año 2020</w:t>
      </w:r>
    </w:p>
    <w:p w14:paraId="61595B32" w14:textId="5E02AA22" w:rsidR="00C97FA0" w:rsidRPr="00C97FA0" w:rsidRDefault="00AE1E44" w:rsidP="00C97FA0">
      <w:pPr>
        <w:pStyle w:val="Prrafodelista"/>
        <w:numPr>
          <w:ilvl w:val="1"/>
          <w:numId w:val="1"/>
        </w:numPr>
        <w:jc w:val="both"/>
        <w:rPr>
          <w:lang w:val="es-ES"/>
        </w:rPr>
      </w:pPr>
      <w:bookmarkStart w:id="0" w:name="_Hlk92539374"/>
      <w:r>
        <w:rPr>
          <w:lang w:val="es-ES"/>
        </w:rPr>
        <w:t>Ahorros en dólares</w:t>
      </w:r>
    </w:p>
    <w:bookmarkEnd w:id="0"/>
    <w:p w14:paraId="3A015665" w14:textId="03649291" w:rsidR="00C97FA0" w:rsidRPr="00C97FA0" w:rsidRDefault="00C97FA0" w:rsidP="00C97FA0">
      <w:pPr>
        <w:pStyle w:val="Prrafodelista"/>
        <w:numPr>
          <w:ilvl w:val="1"/>
          <w:numId w:val="1"/>
        </w:numPr>
        <w:jc w:val="both"/>
        <w:rPr>
          <w:lang w:val="es-ES"/>
        </w:rPr>
      </w:pPr>
      <w:r w:rsidRPr="00C97FA0">
        <w:rPr>
          <w:lang w:val="es-ES"/>
        </w:rPr>
        <w:t>Dinero en fondo money market</w:t>
      </w:r>
    </w:p>
    <w:p w14:paraId="445782B7" w14:textId="43304FA3" w:rsidR="00C97FA0" w:rsidRPr="00C97FA0" w:rsidRDefault="00AE1E44" w:rsidP="00C97FA0">
      <w:pPr>
        <w:pStyle w:val="Prrafodelista"/>
        <w:numPr>
          <w:ilvl w:val="1"/>
          <w:numId w:val="1"/>
        </w:numPr>
        <w:jc w:val="both"/>
        <w:rPr>
          <w:lang w:val="es-ES"/>
        </w:rPr>
      </w:pPr>
      <w:r>
        <w:rPr>
          <w:lang w:val="es-ES"/>
        </w:rPr>
        <w:t>Ahorros en pesos</w:t>
      </w:r>
    </w:p>
    <w:p w14:paraId="69821144" w14:textId="11EF0474" w:rsidR="00524274" w:rsidRDefault="00524274" w:rsidP="00524274">
      <w:pPr>
        <w:pStyle w:val="Prrafodelista"/>
        <w:numPr>
          <w:ilvl w:val="0"/>
          <w:numId w:val="1"/>
        </w:numPr>
        <w:jc w:val="both"/>
        <w:rPr>
          <w:b/>
          <w:bCs/>
          <w:u w:val="single"/>
          <w:lang w:val="es-ES"/>
        </w:rPr>
      </w:pPr>
      <w:r>
        <w:rPr>
          <w:b/>
          <w:bCs/>
          <w:u w:val="single"/>
          <w:lang w:val="es-ES"/>
        </w:rPr>
        <w:t>Pasivo</w:t>
      </w:r>
      <w:r w:rsidR="00C97FA0">
        <w:rPr>
          <w:b/>
          <w:bCs/>
          <w:u w:val="single"/>
          <w:lang w:val="es-ES"/>
        </w:rPr>
        <w:t>s</w:t>
      </w:r>
    </w:p>
    <w:p w14:paraId="228FC109" w14:textId="4BF56FD3" w:rsidR="00C97FA0" w:rsidRPr="00C97FA0" w:rsidRDefault="00C97FA0" w:rsidP="00C97FA0">
      <w:pPr>
        <w:pStyle w:val="Prrafodelista"/>
        <w:numPr>
          <w:ilvl w:val="1"/>
          <w:numId w:val="1"/>
        </w:numPr>
        <w:jc w:val="both"/>
        <w:rPr>
          <w:lang w:val="es-ES"/>
        </w:rPr>
      </w:pPr>
      <w:r w:rsidRPr="00C97FA0">
        <w:rPr>
          <w:lang w:val="es-ES"/>
        </w:rPr>
        <w:t>No se posee prestamos</w:t>
      </w:r>
    </w:p>
    <w:p w14:paraId="0C4B3CD5" w14:textId="21CFDDED" w:rsidR="00C97FA0" w:rsidRPr="00C97FA0" w:rsidRDefault="00C97FA0" w:rsidP="00C97FA0">
      <w:pPr>
        <w:pStyle w:val="Prrafodelista"/>
        <w:numPr>
          <w:ilvl w:val="1"/>
          <w:numId w:val="1"/>
        </w:numPr>
        <w:jc w:val="both"/>
        <w:rPr>
          <w:lang w:val="es-ES"/>
        </w:rPr>
      </w:pPr>
      <w:r w:rsidRPr="00C97FA0">
        <w:rPr>
          <w:lang w:val="es-ES"/>
        </w:rPr>
        <w:t>No se posee deudas mayores a 1 año.</w:t>
      </w:r>
    </w:p>
    <w:p w14:paraId="7DDFE8B3" w14:textId="1245574B" w:rsidR="00C97FA0" w:rsidRPr="00C97FA0" w:rsidRDefault="00AE1E44" w:rsidP="00C97FA0">
      <w:pPr>
        <w:pStyle w:val="Prrafodelista"/>
        <w:numPr>
          <w:ilvl w:val="1"/>
          <w:numId w:val="1"/>
        </w:numPr>
        <w:jc w:val="both"/>
        <w:rPr>
          <w:lang w:val="es-ES"/>
        </w:rPr>
      </w:pPr>
      <w:r>
        <w:rPr>
          <w:lang w:val="es-ES"/>
        </w:rPr>
        <w:t>No utiliza</w:t>
      </w:r>
      <w:r w:rsidR="00C97FA0" w:rsidRPr="00C97FA0">
        <w:rPr>
          <w:lang w:val="es-ES"/>
        </w:rPr>
        <w:t xml:space="preserve"> tarjetas de </w:t>
      </w:r>
      <w:r w:rsidR="00483973" w:rsidRPr="00C97FA0">
        <w:rPr>
          <w:lang w:val="es-ES"/>
        </w:rPr>
        <w:t>crédito</w:t>
      </w:r>
    </w:p>
    <w:p w14:paraId="33759D1D" w14:textId="4FCBC90F" w:rsidR="00524274" w:rsidRDefault="00524274" w:rsidP="00524274">
      <w:pPr>
        <w:pStyle w:val="Prrafodelista"/>
        <w:numPr>
          <w:ilvl w:val="0"/>
          <w:numId w:val="1"/>
        </w:numPr>
        <w:jc w:val="both"/>
        <w:rPr>
          <w:b/>
          <w:bCs/>
          <w:u w:val="single"/>
          <w:lang w:val="es-ES"/>
        </w:rPr>
      </w:pPr>
      <w:r>
        <w:rPr>
          <w:b/>
          <w:bCs/>
          <w:u w:val="single"/>
          <w:lang w:val="es-ES"/>
        </w:rPr>
        <w:t>Ingreso</w:t>
      </w:r>
      <w:r w:rsidR="00C97FA0">
        <w:rPr>
          <w:b/>
          <w:bCs/>
          <w:u w:val="single"/>
          <w:lang w:val="es-ES"/>
        </w:rPr>
        <w:t>s</w:t>
      </w:r>
    </w:p>
    <w:p w14:paraId="57ED2867" w14:textId="2FD5F633" w:rsidR="00C97FA0" w:rsidRPr="00C97FA0" w:rsidRDefault="00C97FA0" w:rsidP="00C97FA0">
      <w:pPr>
        <w:pStyle w:val="Prrafodelista"/>
        <w:numPr>
          <w:ilvl w:val="1"/>
          <w:numId w:val="1"/>
        </w:numPr>
        <w:jc w:val="both"/>
        <w:rPr>
          <w:lang w:val="es-ES"/>
        </w:rPr>
      </w:pPr>
      <w:r w:rsidRPr="00C97FA0">
        <w:rPr>
          <w:lang w:val="es-ES"/>
        </w:rPr>
        <w:t>Trabajo en relación de dependencia, ingresos mensuales</w:t>
      </w:r>
    </w:p>
    <w:p w14:paraId="382A17E5" w14:textId="3EC754D5" w:rsidR="00524274" w:rsidRDefault="00524274" w:rsidP="00524274">
      <w:pPr>
        <w:pStyle w:val="Prrafodelista"/>
        <w:numPr>
          <w:ilvl w:val="0"/>
          <w:numId w:val="1"/>
        </w:numPr>
        <w:jc w:val="both"/>
        <w:rPr>
          <w:b/>
          <w:bCs/>
          <w:u w:val="single"/>
          <w:lang w:val="es-ES"/>
        </w:rPr>
      </w:pPr>
      <w:r>
        <w:rPr>
          <w:b/>
          <w:bCs/>
          <w:u w:val="single"/>
          <w:lang w:val="es-ES"/>
        </w:rPr>
        <w:t>Egresos</w:t>
      </w:r>
    </w:p>
    <w:p w14:paraId="000E5789" w14:textId="11D50037" w:rsidR="00C97FA0" w:rsidRPr="00A009E3" w:rsidRDefault="00C97FA0" w:rsidP="00C97FA0">
      <w:pPr>
        <w:pStyle w:val="Prrafodelista"/>
        <w:numPr>
          <w:ilvl w:val="1"/>
          <w:numId w:val="1"/>
        </w:numPr>
        <w:jc w:val="both"/>
        <w:rPr>
          <w:lang w:val="es-ES"/>
        </w:rPr>
      </w:pPr>
      <w:r w:rsidRPr="00A009E3">
        <w:rPr>
          <w:lang w:val="es-ES"/>
        </w:rPr>
        <w:t xml:space="preserve">El </w:t>
      </w:r>
      <w:r w:rsidR="00A009E3" w:rsidRPr="00A009E3">
        <w:rPr>
          <w:lang w:val="es-ES"/>
        </w:rPr>
        <w:t>7</w:t>
      </w:r>
      <w:r w:rsidRPr="00A009E3">
        <w:rPr>
          <w:lang w:val="es-ES"/>
        </w:rPr>
        <w:t xml:space="preserve">0% </w:t>
      </w:r>
      <w:r w:rsidR="00A009E3" w:rsidRPr="00A009E3">
        <w:rPr>
          <w:lang w:val="es-ES"/>
        </w:rPr>
        <w:t>está</w:t>
      </w:r>
      <w:r w:rsidRPr="00A009E3">
        <w:rPr>
          <w:lang w:val="es-ES"/>
        </w:rPr>
        <w:t xml:space="preserve"> destinado a</w:t>
      </w:r>
      <w:r w:rsidR="00A009E3" w:rsidRPr="00A009E3">
        <w:rPr>
          <w:lang w:val="es-ES"/>
        </w:rPr>
        <w:t xml:space="preserve"> gastos fijos (Alimentos, </w:t>
      </w:r>
      <w:r w:rsidR="00AE1E44">
        <w:rPr>
          <w:lang w:val="es-ES"/>
        </w:rPr>
        <w:t>Movilidad</w:t>
      </w:r>
      <w:r w:rsidR="00A009E3" w:rsidRPr="00A009E3">
        <w:rPr>
          <w:lang w:val="es-ES"/>
        </w:rPr>
        <w:t>, Impuestos, Alquiler, etc.)</w:t>
      </w:r>
    </w:p>
    <w:p w14:paraId="30B98022" w14:textId="70AF9C53" w:rsidR="00A009E3" w:rsidRPr="00A009E3" w:rsidRDefault="00A009E3" w:rsidP="00C97FA0">
      <w:pPr>
        <w:pStyle w:val="Prrafodelista"/>
        <w:numPr>
          <w:ilvl w:val="1"/>
          <w:numId w:val="1"/>
        </w:numPr>
        <w:jc w:val="both"/>
        <w:rPr>
          <w:lang w:val="es-ES"/>
        </w:rPr>
      </w:pPr>
      <w:r w:rsidRPr="00A009E3">
        <w:rPr>
          <w:lang w:val="es-ES"/>
        </w:rPr>
        <w:t>El 20% ahorros/inversión</w:t>
      </w:r>
    </w:p>
    <w:p w14:paraId="7F636975" w14:textId="3C9166E3" w:rsidR="00A009E3" w:rsidRPr="00A009E3" w:rsidRDefault="00A009E3" w:rsidP="00C97FA0">
      <w:pPr>
        <w:pStyle w:val="Prrafodelista"/>
        <w:numPr>
          <w:ilvl w:val="1"/>
          <w:numId w:val="1"/>
        </w:numPr>
        <w:jc w:val="both"/>
        <w:rPr>
          <w:lang w:val="es-ES"/>
        </w:rPr>
      </w:pPr>
      <w:r w:rsidRPr="00A009E3">
        <w:rPr>
          <w:lang w:val="es-ES"/>
        </w:rPr>
        <w:t>Gastos varios</w:t>
      </w:r>
    </w:p>
    <w:p w14:paraId="5CF0FB11" w14:textId="48F3F87D" w:rsidR="00524274" w:rsidRDefault="00524274" w:rsidP="00524274">
      <w:pPr>
        <w:pStyle w:val="Prrafodelista"/>
        <w:numPr>
          <w:ilvl w:val="0"/>
          <w:numId w:val="1"/>
        </w:numPr>
        <w:jc w:val="both"/>
        <w:rPr>
          <w:b/>
          <w:bCs/>
          <w:u w:val="single"/>
          <w:lang w:val="es-ES"/>
        </w:rPr>
      </w:pPr>
      <w:r>
        <w:rPr>
          <w:b/>
          <w:bCs/>
          <w:u w:val="single"/>
          <w:lang w:val="es-ES"/>
        </w:rPr>
        <w:t>Patrimonio</w:t>
      </w:r>
    </w:p>
    <w:p w14:paraId="5290AC6D" w14:textId="5B0BA543" w:rsidR="00A009E3" w:rsidRPr="00A009E3" w:rsidRDefault="00A009E3" w:rsidP="00A009E3">
      <w:pPr>
        <w:pStyle w:val="Prrafodelista"/>
        <w:numPr>
          <w:ilvl w:val="1"/>
          <w:numId w:val="1"/>
        </w:numPr>
        <w:jc w:val="both"/>
        <w:rPr>
          <w:lang w:val="es-ES"/>
        </w:rPr>
      </w:pPr>
      <w:r w:rsidRPr="00A009E3">
        <w:rPr>
          <w:lang w:val="es-ES"/>
        </w:rPr>
        <w:t>Compuesto por activos</w:t>
      </w:r>
    </w:p>
    <w:p w14:paraId="1211E0E8" w14:textId="396F0ACC" w:rsidR="00524274" w:rsidRDefault="00AE1E44" w:rsidP="00524274">
      <w:pPr>
        <w:pStyle w:val="Prrafodelista"/>
        <w:numPr>
          <w:ilvl w:val="0"/>
          <w:numId w:val="1"/>
        </w:numPr>
        <w:jc w:val="both"/>
        <w:rPr>
          <w:b/>
          <w:bCs/>
          <w:u w:val="single"/>
          <w:lang w:val="es-ES"/>
        </w:rPr>
      </w:pPr>
      <w:r>
        <w:rPr>
          <w:b/>
          <w:bCs/>
          <w:u w:val="single"/>
          <w:lang w:val="es-ES"/>
        </w:rPr>
        <w:t>Cash-flow</w:t>
      </w:r>
      <w:r w:rsidR="00524274">
        <w:rPr>
          <w:b/>
          <w:bCs/>
          <w:u w:val="single"/>
          <w:lang w:val="es-ES"/>
        </w:rPr>
        <w:t xml:space="preserve"> año vista</w:t>
      </w:r>
    </w:p>
    <w:p w14:paraId="23C9F87D" w14:textId="542E8A67" w:rsidR="00A009E3" w:rsidRDefault="00A009E3" w:rsidP="00A009E3">
      <w:pPr>
        <w:pStyle w:val="Prrafodelista"/>
        <w:numPr>
          <w:ilvl w:val="1"/>
          <w:numId w:val="1"/>
        </w:numPr>
        <w:jc w:val="both"/>
        <w:rPr>
          <w:lang w:val="es-ES"/>
        </w:rPr>
      </w:pPr>
      <w:r w:rsidRPr="00A009E3">
        <w:rPr>
          <w:lang w:val="es-ES"/>
        </w:rPr>
        <w:t>+ $350.000</w:t>
      </w:r>
    </w:p>
    <w:p w14:paraId="18806B1C" w14:textId="77777777" w:rsidR="007B0063" w:rsidRPr="00A009E3" w:rsidRDefault="007B0063" w:rsidP="00A009E3">
      <w:pPr>
        <w:pStyle w:val="Prrafodelista"/>
        <w:numPr>
          <w:ilvl w:val="1"/>
          <w:numId w:val="1"/>
        </w:numPr>
        <w:jc w:val="both"/>
        <w:rPr>
          <w:lang w:val="es-ES"/>
        </w:rPr>
      </w:pPr>
    </w:p>
    <w:p w14:paraId="68A67E5F" w14:textId="60E1DC01" w:rsidR="00524274" w:rsidRDefault="00524274" w:rsidP="00524274">
      <w:pPr>
        <w:pStyle w:val="Prrafodelista"/>
        <w:numPr>
          <w:ilvl w:val="0"/>
          <w:numId w:val="1"/>
        </w:numPr>
        <w:jc w:val="both"/>
        <w:rPr>
          <w:b/>
          <w:bCs/>
          <w:u w:val="single"/>
          <w:lang w:val="es-ES"/>
        </w:rPr>
      </w:pPr>
      <w:r>
        <w:rPr>
          <w:b/>
          <w:bCs/>
          <w:u w:val="single"/>
          <w:lang w:val="es-ES"/>
        </w:rPr>
        <w:t>Diagnostico</w:t>
      </w:r>
    </w:p>
    <w:p w14:paraId="4846EBE8" w14:textId="02F1BE86" w:rsidR="00A009E3" w:rsidRDefault="00A009E3" w:rsidP="00A009E3">
      <w:pPr>
        <w:jc w:val="both"/>
        <w:rPr>
          <w:lang w:val="es-ES"/>
        </w:rPr>
      </w:pPr>
      <w:r w:rsidRPr="00A009E3">
        <w:rPr>
          <w:lang w:val="es-ES"/>
        </w:rPr>
        <w:t>El ingreso recurrente que se obtiene por el trabajo en relación de dependencia permite que el importe que se destina a las inversiones sea estrictamente destinado a reinvertir las ganancias, ya que con los ingresos del sueldo se logran cubrir los gastos fijos y variables, y además aportar un aporte mensual (incrementado en Julio y diciembre con el aguinaldo) lo que permite favorecer al crecimiento del capital para poder lograr los objetivos financieros.</w:t>
      </w:r>
      <w:r>
        <w:rPr>
          <w:lang w:val="es-ES"/>
        </w:rPr>
        <w:t xml:space="preserve"> Es importante controlar los gastos fijos y variables para que un eventual incrementos de estos no afecte al monto destinado a “ahorro e inversión” mensual. </w:t>
      </w:r>
    </w:p>
    <w:p w14:paraId="0F26DC66" w14:textId="77777777" w:rsidR="007B0063" w:rsidRPr="00A009E3" w:rsidRDefault="007B0063" w:rsidP="00A009E3">
      <w:pPr>
        <w:jc w:val="both"/>
        <w:rPr>
          <w:lang w:val="es-ES"/>
        </w:rPr>
      </w:pPr>
    </w:p>
    <w:p w14:paraId="3F34AA86" w14:textId="2AD35374" w:rsidR="00263F1E" w:rsidRDefault="00657DBF" w:rsidP="00263F1E">
      <w:pPr>
        <w:jc w:val="both"/>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 xml:space="preserve">Describe y </w:t>
      </w:r>
      <w:r w:rsidR="00263F1E" w:rsidRPr="00B018FA">
        <w:rPr>
          <w:rFonts w:ascii="Arial" w:hAnsi="Arial" w:cs="Arial"/>
          <w:b/>
          <w:bCs/>
          <w:color w:val="000000"/>
          <w:sz w:val="20"/>
          <w:szCs w:val="20"/>
          <w:shd w:val="clear" w:color="auto" w:fill="FFFFFF"/>
        </w:rPr>
        <w:t>presenta tu propia propuesta de inversión:</w:t>
      </w:r>
    </w:p>
    <w:p w14:paraId="21A1A2F1" w14:textId="372291F0" w:rsidR="00B018FA" w:rsidRPr="00B018FA" w:rsidRDefault="00B018FA" w:rsidP="00263F1E">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El objetivo que se plantea es mediante las inversiones en los distintos tipos de instrumentos financieros es la de apreciación de capital, mediante una estrategia dominante activa, que requerirá dedicarle tiempo para informarse y operar en las distintas plataformas de inversión que se utilicen. El tipo de técnica primaria será de trading, el cual podremos dividir en dos partes, por un lado, la toma de ganancias en niveles que se detectaran o pactaran mediante el análisis técnico en zonas de “resistencia” y por otro lado detectar oportunidades de inversión, en zonas de “soporte” y utilizar el margen destinado a “Efectivo”. Mediante la técnica secundaria de Stock </w:t>
      </w:r>
      <w:proofErr w:type="spellStart"/>
      <w:r>
        <w:rPr>
          <w:rFonts w:ascii="Arial" w:hAnsi="Arial" w:cs="Arial"/>
          <w:color w:val="000000"/>
          <w:sz w:val="20"/>
          <w:szCs w:val="20"/>
          <w:shd w:val="clear" w:color="auto" w:fill="FFFFFF"/>
        </w:rPr>
        <w:t>Picking</w:t>
      </w:r>
      <w:proofErr w:type="spellEnd"/>
      <w:r>
        <w:rPr>
          <w:rFonts w:ascii="Arial" w:hAnsi="Arial" w:cs="Arial"/>
          <w:color w:val="000000"/>
          <w:sz w:val="20"/>
          <w:szCs w:val="20"/>
          <w:shd w:val="clear" w:color="auto" w:fill="FFFFFF"/>
        </w:rPr>
        <w:t xml:space="preserve"> se destinará parte del efectivo o toma de ganancias a invertir en </w:t>
      </w:r>
      <w:r w:rsidRPr="00B018FA">
        <w:t>“valores incorrectamente valorados “</w:t>
      </w:r>
      <w:r>
        <w:t>, el cual se determinará, principalmente por análisis fundamental.</w:t>
      </w:r>
    </w:p>
    <w:p w14:paraId="2F47DBFF" w14:textId="77777777" w:rsidR="00B018FA" w:rsidRDefault="00B018FA" w:rsidP="00263F1E">
      <w:pPr>
        <w:jc w:val="both"/>
        <w:rPr>
          <w:rFonts w:ascii="Arial" w:hAnsi="Arial" w:cs="Arial"/>
          <w:color w:val="000000"/>
          <w:sz w:val="20"/>
          <w:szCs w:val="20"/>
          <w:shd w:val="clear" w:color="auto" w:fill="FFFFFF"/>
        </w:rPr>
      </w:pPr>
    </w:p>
    <w:p w14:paraId="342BDFD4" w14:textId="29FBBF20" w:rsidR="00263F1E" w:rsidRDefault="00263F1E" w:rsidP="00263F1E">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Cartera de inversión</w:t>
      </w:r>
      <w:r w:rsidR="00FE1CF6">
        <w:rPr>
          <w:rFonts w:ascii="Arial" w:hAnsi="Arial" w:cs="Arial"/>
          <w:color w:val="000000"/>
          <w:sz w:val="20"/>
          <w:szCs w:val="20"/>
          <w:shd w:val="clear" w:color="auto" w:fill="FFFFFF"/>
        </w:rPr>
        <w:t xml:space="preserve"> por instrumentos financieros</w:t>
      </w:r>
      <w:r>
        <w:rPr>
          <w:rFonts w:ascii="Arial" w:hAnsi="Arial" w:cs="Arial"/>
          <w:color w:val="000000"/>
          <w:sz w:val="20"/>
          <w:szCs w:val="20"/>
          <w:shd w:val="clear" w:color="auto" w:fill="FFFFFF"/>
        </w:rPr>
        <w:t>:</w:t>
      </w:r>
    </w:p>
    <w:p w14:paraId="51B93E30" w14:textId="4A93A342" w:rsidR="00FE1CF6" w:rsidRDefault="00FE1CF6" w:rsidP="00263F1E">
      <w:pPr>
        <w:jc w:val="both"/>
        <w:rPr>
          <w:rFonts w:ascii="Arial" w:hAnsi="Arial" w:cs="Arial"/>
          <w:color w:val="000000"/>
          <w:sz w:val="20"/>
          <w:szCs w:val="20"/>
          <w:shd w:val="clear" w:color="auto" w:fill="FFFFFF"/>
        </w:rPr>
      </w:pPr>
    </w:p>
    <w:p w14:paraId="1CEB036E" w14:textId="36E88C8D" w:rsidR="00FE1CF6" w:rsidRDefault="00FE1CF6" w:rsidP="00263F1E">
      <w:pPr>
        <w:jc w:val="both"/>
        <w:rPr>
          <w:rFonts w:ascii="Arial" w:hAnsi="Arial" w:cs="Arial"/>
          <w:color w:val="000000"/>
          <w:sz w:val="20"/>
          <w:szCs w:val="20"/>
          <w:shd w:val="clear" w:color="auto" w:fill="FFFFFF"/>
        </w:rPr>
      </w:pPr>
      <w:r>
        <w:rPr>
          <w:noProof/>
        </w:rPr>
        <w:drawing>
          <wp:inline distT="0" distB="0" distL="0" distR="0" wp14:anchorId="1264DF75" wp14:editId="723E535E">
            <wp:extent cx="5572125" cy="3505200"/>
            <wp:effectExtent l="0" t="0" r="9525" b="0"/>
            <wp:docPr id="3" name="Gráfico 3">
              <a:extLst xmlns:a="http://schemas.openxmlformats.org/drawingml/2006/main">
                <a:ext uri="{FF2B5EF4-FFF2-40B4-BE49-F238E27FC236}">
                  <a16:creationId xmlns:a16="http://schemas.microsoft.com/office/drawing/2014/main" id="{3B9BAB43-CD34-43E5-9DB0-7839CEC749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71F166" w14:textId="6BAFC35D" w:rsidR="00FE1CF6" w:rsidRDefault="00FE1CF6" w:rsidP="00263F1E">
      <w:pPr>
        <w:jc w:val="both"/>
        <w:rPr>
          <w:rFonts w:ascii="Arial" w:hAnsi="Arial" w:cs="Arial"/>
          <w:color w:val="000000"/>
          <w:sz w:val="20"/>
          <w:szCs w:val="20"/>
          <w:shd w:val="clear" w:color="auto" w:fill="FFFFFF"/>
        </w:rPr>
      </w:pPr>
    </w:p>
    <w:p w14:paraId="7160C65A" w14:textId="233E8E5A" w:rsidR="007D75ED" w:rsidRDefault="00FE1CF6" w:rsidP="00263F1E">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Detalle por activos:</w:t>
      </w:r>
    </w:p>
    <w:p w14:paraId="117FC0D4" w14:textId="144F271F" w:rsidR="007D75ED" w:rsidRPr="00263F1E" w:rsidRDefault="00FE1CF6" w:rsidP="00657DBF">
      <w:pPr>
        <w:jc w:val="center"/>
        <w:rPr>
          <w:b/>
          <w:bCs/>
          <w:u w:val="single"/>
          <w:lang w:val="es-ES"/>
        </w:rPr>
      </w:pPr>
      <w:r>
        <w:rPr>
          <w:noProof/>
        </w:rPr>
        <w:lastRenderedPageBreak/>
        <w:drawing>
          <wp:anchor distT="0" distB="0" distL="114300" distR="114300" simplePos="0" relativeHeight="251658240" behindDoc="0" locked="0" layoutInCell="1" allowOverlap="1" wp14:anchorId="3B9C99C4" wp14:editId="585D4B32">
            <wp:simplePos x="0" y="0"/>
            <wp:positionH relativeFrom="margin">
              <wp:posOffset>-337820</wp:posOffset>
            </wp:positionH>
            <wp:positionV relativeFrom="paragraph">
              <wp:posOffset>119380</wp:posOffset>
            </wp:positionV>
            <wp:extent cx="6181725" cy="4095750"/>
            <wp:effectExtent l="0" t="0" r="9525" b="0"/>
            <wp:wrapSquare wrapText="bothSides"/>
            <wp:docPr id="1" name="Gráfico 1">
              <a:extLst xmlns:a="http://schemas.openxmlformats.org/drawingml/2006/main">
                <a:ext uri="{FF2B5EF4-FFF2-40B4-BE49-F238E27FC236}">
                  <a16:creationId xmlns:a16="http://schemas.microsoft.com/office/drawing/2014/main" id="{D3C9D247-17BE-4F44-87ED-8EBC62E67D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sectPr w:rsidR="007D75ED" w:rsidRPr="00263F1E">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88736" w14:textId="77777777" w:rsidR="00740831" w:rsidRDefault="00740831" w:rsidP="00483973">
      <w:pPr>
        <w:spacing w:after="0" w:line="240" w:lineRule="auto"/>
      </w:pPr>
      <w:r>
        <w:separator/>
      </w:r>
    </w:p>
  </w:endnote>
  <w:endnote w:type="continuationSeparator" w:id="0">
    <w:p w14:paraId="12E14156" w14:textId="77777777" w:rsidR="00740831" w:rsidRDefault="00740831" w:rsidP="00483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731298"/>
      <w:docPartObj>
        <w:docPartGallery w:val="Page Numbers (Bottom of Page)"/>
        <w:docPartUnique/>
      </w:docPartObj>
    </w:sdtPr>
    <w:sdtEndPr/>
    <w:sdtContent>
      <w:p w14:paraId="54FE34A3" w14:textId="77777777" w:rsidR="00483973" w:rsidRDefault="00483973">
        <w:pPr>
          <w:pStyle w:val="Piedepgina"/>
          <w:jc w:val="right"/>
        </w:pPr>
        <w:r>
          <w:fldChar w:fldCharType="begin"/>
        </w:r>
        <w:r>
          <w:instrText>PAGE   \* MERGEFORMAT</w:instrText>
        </w:r>
        <w:r>
          <w:fldChar w:fldCharType="separate"/>
        </w:r>
        <w:r>
          <w:rPr>
            <w:lang w:val="es-ES"/>
          </w:rPr>
          <w:t>2</w:t>
        </w:r>
        <w:r>
          <w:fldChar w:fldCharType="end"/>
        </w:r>
      </w:p>
    </w:sdtContent>
  </w:sdt>
  <w:p w14:paraId="68A7515B" w14:textId="1D537CD2" w:rsidR="00483973" w:rsidRDefault="00483973">
    <w:pPr>
      <w:pStyle w:val="Piedepgina"/>
    </w:pPr>
    <w:r>
      <w:rPr>
        <w:noProof/>
      </w:rPr>
      <w:drawing>
        <wp:inline distT="0" distB="0" distL="0" distR="0" wp14:anchorId="443986BF" wp14:editId="38AC06F3">
          <wp:extent cx="1913255" cy="400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3039" b="23195"/>
                  <a:stretch/>
                </pic:blipFill>
                <pic:spPr bwMode="auto">
                  <a:xfrm>
                    <a:off x="0" y="0"/>
                    <a:ext cx="1927586" cy="403047"/>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F1CD8" w14:textId="77777777" w:rsidR="00740831" w:rsidRDefault="00740831" w:rsidP="00483973">
      <w:pPr>
        <w:spacing w:after="0" w:line="240" w:lineRule="auto"/>
      </w:pPr>
      <w:r>
        <w:separator/>
      </w:r>
    </w:p>
  </w:footnote>
  <w:footnote w:type="continuationSeparator" w:id="0">
    <w:p w14:paraId="0191AA96" w14:textId="77777777" w:rsidR="00740831" w:rsidRDefault="00740831" w:rsidP="00483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439F6" w14:textId="47B95C48" w:rsidR="00483973" w:rsidRDefault="00483973" w:rsidP="00483973">
    <w:pPr>
      <w:pStyle w:val="Encabezado"/>
      <w:tabs>
        <w:tab w:val="clear" w:pos="4252"/>
        <w:tab w:val="clear" w:pos="8504"/>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05384"/>
    <w:multiLevelType w:val="hybridMultilevel"/>
    <w:tmpl w:val="A66E4FAE"/>
    <w:lvl w:ilvl="0" w:tplc="A838F842">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36"/>
    <w:rsid w:val="000007AC"/>
    <w:rsid w:val="0006753F"/>
    <w:rsid w:val="00166B45"/>
    <w:rsid w:val="001B1D21"/>
    <w:rsid w:val="00263F1E"/>
    <w:rsid w:val="002D50A6"/>
    <w:rsid w:val="003A4043"/>
    <w:rsid w:val="003B79EC"/>
    <w:rsid w:val="003F4730"/>
    <w:rsid w:val="00483973"/>
    <w:rsid w:val="004E3D0B"/>
    <w:rsid w:val="005052DF"/>
    <w:rsid w:val="00524274"/>
    <w:rsid w:val="00525ECD"/>
    <w:rsid w:val="00646B28"/>
    <w:rsid w:val="00657DBF"/>
    <w:rsid w:val="006D69CE"/>
    <w:rsid w:val="00712471"/>
    <w:rsid w:val="00714AFB"/>
    <w:rsid w:val="00740831"/>
    <w:rsid w:val="007B0063"/>
    <w:rsid w:val="007C6443"/>
    <w:rsid w:val="007D75ED"/>
    <w:rsid w:val="00884682"/>
    <w:rsid w:val="008B4F0D"/>
    <w:rsid w:val="00A009E3"/>
    <w:rsid w:val="00A463BB"/>
    <w:rsid w:val="00AE1E44"/>
    <w:rsid w:val="00B018FA"/>
    <w:rsid w:val="00C95F36"/>
    <w:rsid w:val="00C97FA0"/>
    <w:rsid w:val="00CB2E14"/>
    <w:rsid w:val="00DE075F"/>
    <w:rsid w:val="00E8798A"/>
    <w:rsid w:val="00FE1C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E1699"/>
  <w15:chartTrackingRefBased/>
  <w15:docId w15:val="{C391F0C1-3255-482F-98F4-EBCA45FB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39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4274"/>
    <w:pPr>
      <w:ind w:left="720"/>
      <w:contextualSpacing/>
    </w:pPr>
  </w:style>
  <w:style w:type="character" w:customStyle="1" w:styleId="Ttulo1Car">
    <w:name w:val="Título 1 Car"/>
    <w:basedOn w:val="Fuentedeprrafopredeter"/>
    <w:link w:val="Ttulo1"/>
    <w:uiPriority w:val="9"/>
    <w:rsid w:val="0048397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4839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3973"/>
  </w:style>
  <w:style w:type="paragraph" w:styleId="Piedepgina">
    <w:name w:val="footer"/>
    <w:basedOn w:val="Normal"/>
    <w:link w:val="PiedepginaCar"/>
    <w:uiPriority w:val="99"/>
    <w:unhideWhenUsed/>
    <w:rsid w:val="004839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39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080" b="1" i="0" u="none" strike="noStrike" kern="1200" spc="0" baseline="0">
                <a:solidFill>
                  <a:schemeClr val="tx1"/>
                </a:solidFill>
                <a:latin typeface="+mn-lt"/>
                <a:ea typeface="+mn-ea"/>
                <a:cs typeface="+mn-cs"/>
              </a:defRPr>
            </a:pPr>
            <a:r>
              <a:rPr lang="es-AR" sz="1600" b="0"/>
              <a:t>Cartera de Inversion</a:t>
            </a:r>
          </a:p>
        </c:rich>
      </c:tx>
      <c:layout>
        <c:manualLayout>
          <c:xMode val="edge"/>
          <c:yMode val="edge"/>
          <c:x val="0.65012146034528795"/>
          <c:y val="5.0569688404334075E-2"/>
        </c:manualLayout>
      </c:layout>
      <c:overlay val="0"/>
      <c:spPr>
        <a:noFill/>
        <a:ln>
          <a:noFill/>
        </a:ln>
        <a:effectLst/>
      </c:spPr>
      <c:txPr>
        <a:bodyPr rot="0" spcFirstLastPara="1" vertOverflow="ellipsis" vert="horz" wrap="square" anchor="ctr" anchorCtr="1"/>
        <a:lstStyle/>
        <a:p>
          <a:pPr>
            <a:defRPr lang="en-US" sz="1080" b="1" i="0" u="none" strike="noStrike" kern="1200" spc="0" baseline="0">
              <a:solidFill>
                <a:schemeClr val="tx1"/>
              </a:solidFill>
              <a:latin typeface="+mn-lt"/>
              <a:ea typeface="+mn-ea"/>
              <a:cs typeface="+mn-cs"/>
            </a:defRPr>
          </a:pPr>
          <a:endParaRPr lang="es-AR"/>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AA4-4FEA-8586-07C6BAFE083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AA4-4FEA-8586-07C6BAFE083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AA4-4FEA-8586-07C6BAFE083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AA4-4FEA-8586-07C6BAFE0837}"/>
              </c:ext>
            </c:extLst>
          </c:dPt>
          <c:dLbls>
            <c:dLbl>
              <c:idx val="0"/>
              <c:layout>
                <c:manualLayout>
                  <c:x val="8.887204724409449E-2"/>
                  <c:y val="-0.21454578594342374"/>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AA4-4FEA-8586-07C6BAFE0837}"/>
                </c:ext>
              </c:extLst>
            </c:dLbl>
            <c:dLbl>
              <c:idx val="1"/>
              <c:layout>
                <c:manualLayout>
                  <c:x val="-7.9986809341140053E-2"/>
                  <c:y val="1.6665240214538399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AA4-4FEA-8586-07C6BAFE0837}"/>
                </c:ext>
              </c:extLst>
            </c:dLbl>
            <c:dLbl>
              <c:idx val="2"/>
              <c:layout>
                <c:manualLayout>
                  <c:x val="-8.0484033245844272E-2"/>
                  <c:y val="2.8519976669582968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AA4-4FEA-8586-07C6BAFE0837}"/>
                </c:ext>
              </c:extLst>
            </c:dLbl>
            <c:dLbl>
              <c:idx val="3"/>
              <c:layout>
                <c:manualLayout>
                  <c:x val="-0.17386690726159229"/>
                  <c:y val="-2.1592665500145814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1AA4-4FEA-8586-07C6BAFE0837}"/>
                </c:ext>
              </c:extLst>
            </c:dLbl>
            <c:spPr>
              <a:noFill/>
              <a:ln>
                <a:noFill/>
              </a:ln>
              <a:effectLst/>
            </c:spPr>
            <c:txPr>
              <a:bodyPr rot="0" spcFirstLastPara="1" vertOverflow="ellipsis" vert="horz" wrap="square" anchor="ctr" anchorCtr="1"/>
              <a:lstStyle/>
              <a:p>
                <a:pPr>
                  <a:defRPr lang="en-US" sz="900" b="1" i="0" u="none" strike="noStrike" kern="1200" baseline="0">
                    <a:solidFill>
                      <a:schemeClr val="tx1"/>
                    </a:solidFill>
                    <a:latin typeface="+mn-lt"/>
                    <a:ea typeface="+mn-ea"/>
                    <a:cs typeface="+mn-cs"/>
                  </a:defRPr>
                </a:pPr>
                <a:endParaRPr lang="es-AR"/>
              </a:p>
            </c:txPr>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Hoja1!$C$24:$C$27</c:f>
              <c:strCache>
                <c:ptCount val="4"/>
                <c:pt idx="0">
                  <c:v>Cedears</c:v>
                </c:pt>
                <c:pt idx="1">
                  <c:v>Criptomonedas</c:v>
                </c:pt>
                <c:pt idx="2">
                  <c:v>Efectivo USD</c:v>
                </c:pt>
                <c:pt idx="3">
                  <c:v>Money Market</c:v>
                </c:pt>
              </c:strCache>
            </c:strRef>
          </c:cat>
          <c:val>
            <c:numRef>
              <c:f>Hoja1!$D$24:$D$27</c:f>
              <c:numCache>
                <c:formatCode>0%</c:formatCode>
                <c:ptCount val="4"/>
                <c:pt idx="0">
                  <c:v>0.65</c:v>
                </c:pt>
                <c:pt idx="1">
                  <c:v>0.1</c:v>
                </c:pt>
                <c:pt idx="2">
                  <c:v>0.2</c:v>
                </c:pt>
                <c:pt idx="3">
                  <c:v>0.05</c:v>
                </c:pt>
              </c:numCache>
            </c:numRef>
          </c:val>
          <c:extLst>
            <c:ext xmlns:c16="http://schemas.microsoft.com/office/drawing/2014/chart" uri="{C3380CC4-5D6E-409C-BE32-E72D297353CC}">
              <c16:uniqueId val="{00000008-1AA4-4FEA-8586-07C6BAFE083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900" b="1" i="0" u="none" strike="noStrike" kern="1200" baseline="0">
          <a:solidFill>
            <a:schemeClr val="tx1"/>
          </a:solidFill>
          <a:latin typeface="+mn-lt"/>
          <a:ea typeface="+mn-ea"/>
          <a:cs typeface="+mn-cs"/>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Cartera de Inversion</a:t>
            </a:r>
          </a:p>
        </c:rich>
      </c:tx>
      <c:layout>
        <c:manualLayout>
          <c:xMode val="edge"/>
          <c:yMode val="edge"/>
          <c:x val="2.1368915785808996E-2"/>
          <c:y val="5.065515576461156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52-4423-875C-6BC69654BD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52-4423-875C-6BC69654BD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52-4423-875C-6BC69654BD0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52-4423-875C-6BC69654BD0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52-4423-875C-6BC69654BD0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852-4423-875C-6BC69654BD0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852-4423-875C-6BC69654BD0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852-4423-875C-6BC69654BD0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D852-4423-875C-6BC69654BD0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D852-4423-875C-6BC69654BD04}"/>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D852-4423-875C-6BC69654BD04}"/>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D852-4423-875C-6BC69654BD04}"/>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D852-4423-875C-6BC69654BD04}"/>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D852-4423-875C-6BC69654BD04}"/>
              </c:ext>
            </c:extLst>
          </c:dPt>
          <c:dLbls>
            <c:dLbl>
              <c:idx val="1"/>
              <c:layout>
                <c:manualLayout>
                  <c:x val="1.533707792292026E-2"/>
                  <c:y val="2.6031252324464024E-3"/>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852-4423-875C-6BC69654BD04}"/>
                </c:ext>
              </c:extLst>
            </c:dLbl>
            <c:dLbl>
              <c:idx val="2"/>
              <c:layout>
                <c:manualLayout>
                  <c:x val="2.0917554168990819E-2"/>
                  <c:y val="-9.5089277259461057E-3"/>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852-4423-875C-6BC69654BD04}"/>
                </c:ext>
              </c:extLst>
            </c:dLbl>
            <c:dLbl>
              <c:idx val="3"/>
              <c:layout>
                <c:manualLayout>
                  <c:x val="3.3324598840301548E-2"/>
                  <c:y val="-7.3284946969969368E-4"/>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D852-4423-875C-6BC69654BD04}"/>
                </c:ext>
              </c:extLst>
            </c:dLbl>
            <c:dLbl>
              <c:idx val="4"/>
              <c:layout>
                <c:manualLayout>
                  <c:x val="4.0767597625255655E-2"/>
                  <c:y val="-1.1253219254014134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D852-4423-875C-6BC69654BD04}"/>
                </c:ext>
              </c:extLst>
            </c:dLbl>
            <c:dLbl>
              <c:idx val="5"/>
              <c:layout>
                <c:manualLayout>
                  <c:x val="4.3359925973009548E-2"/>
                  <c:y val="7.1638094229071175E-3"/>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D852-4423-875C-6BC69654BD04}"/>
                </c:ext>
              </c:extLst>
            </c:dLbl>
            <c:dLbl>
              <c:idx val="6"/>
              <c:layout>
                <c:manualLayout>
                  <c:x val="2.05526945046202E-2"/>
                  <c:y val="2.4326759737634401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D852-4423-875C-6BC69654BD04}"/>
                </c:ext>
              </c:extLst>
            </c:dLbl>
            <c:dLbl>
              <c:idx val="8"/>
              <c:layout>
                <c:manualLayout>
                  <c:x val="-1.8079189854151263E-2"/>
                  <c:y val="3.4260849946189088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1-D852-4423-875C-6BC69654BD04}"/>
                </c:ext>
              </c:extLst>
            </c:dLbl>
            <c:dLbl>
              <c:idx val="9"/>
              <c:layout>
                <c:manualLayout>
                  <c:x val="-4.0375150799724993E-2"/>
                  <c:y val="4.6134932683521902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3-D852-4423-875C-6BC69654BD04}"/>
                </c:ext>
              </c:extLst>
            </c:dLbl>
            <c:dLbl>
              <c:idx val="10"/>
              <c:layout>
                <c:manualLayout>
                  <c:x val="-4.3632424859577891E-2"/>
                  <c:y val="2.271449090429507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5-D852-4423-875C-6BC69654BD04}"/>
                </c:ext>
              </c:extLst>
            </c:dLbl>
            <c:dLbl>
              <c:idx val="11"/>
              <c:layout>
                <c:manualLayout>
                  <c:x val="-2.6694686228471851E-2"/>
                  <c:y val="1.3706480887038771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7-D852-4423-875C-6BC69654BD04}"/>
                </c:ext>
              </c:extLst>
            </c:dLbl>
            <c:dLbl>
              <c:idx val="12"/>
              <c:layout>
                <c:manualLayout>
                  <c:x val="-2.0252954377407931E-2"/>
                  <c:y val="1.18455372898238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9-D852-4423-875C-6BC69654BD04}"/>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s-AR"/>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Hoja1!$D$5:$D$18</c:f>
              <c:strCache>
                <c:ptCount val="14"/>
                <c:pt idx="0">
                  <c:v>Disney (DISN)</c:v>
                </c:pt>
                <c:pt idx="1">
                  <c:v>Microsoft (MSFT)</c:v>
                </c:pt>
                <c:pt idx="2">
                  <c:v>Mercadolibre (MELI)</c:v>
                </c:pt>
                <c:pt idx="3">
                  <c:v>Apple (AAPL)</c:v>
                </c:pt>
                <c:pt idx="4">
                  <c:v>Amazon (AMZN)</c:v>
                </c:pt>
                <c:pt idx="5">
                  <c:v>Nvidia (NVDA)</c:v>
                </c:pt>
                <c:pt idx="6">
                  <c:v>Paypal (PYPL)</c:v>
                </c:pt>
                <c:pt idx="7">
                  <c:v>Tesla (TSLA)</c:v>
                </c:pt>
                <c:pt idx="8">
                  <c:v>AMD (AMD)</c:v>
                </c:pt>
                <c:pt idx="9">
                  <c:v>Visa (V)</c:v>
                </c:pt>
                <c:pt idx="10">
                  <c:v>Mastercard (MA)</c:v>
                </c:pt>
                <c:pt idx="11">
                  <c:v>Criptomonedas</c:v>
                </c:pt>
                <c:pt idx="12">
                  <c:v>Efectivo</c:v>
                </c:pt>
                <c:pt idx="13">
                  <c:v>Money Market</c:v>
                </c:pt>
              </c:strCache>
            </c:strRef>
          </c:cat>
          <c:val>
            <c:numRef>
              <c:f>Hoja1!$E$5:$E$18</c:f>
              <c:numCache>
                <c:formatCode>0.00%</c:formatCode>
                <c:ptCount val="14"/>
                <c:pt idx="0">
                  <c:v>5.0231839258114377E-2</c:v>
                </c:pt>
                <c:pt idx="1">
                  <c:v>6.7233384853168474E-2</c:v>
                </c:pt>
                <c:pt idx="2">
                  <c:v>6.9551777434312206E-2</c:v>
                </c:pt>
                <c:pt idx="3">
                  <c:v>6.1823802163833076E-2</c:v>
                </c:pt>
                <c:pt idx="4">
                  <c:v>4.6367851622874809E-2</c:v>
                </c:pt>
                <c:pt idx="5">
                  <c:v>6.9551777434312206E-2</c:v>
                </c:pt>
                <c:pt idx="6">
                  <c:v>6.9551777434312206E-2</c:v>
                </c:pt>
                <c:pt idx="7">
                  <c:v>5.2550231839258117E-2</c:v>
                </c:pt>
                <c:pt idx="8">
                  <c:v>6.9551777434312206E-2</c:v>
                </c:pt>
                <c:pt idx="9">
                  <c:v>4.945904173106646E-2</c:v>
                </c:pt>
                <c:pt idx="10">
                  <c:v>5.4095826893353939E-2</c:v>
                </c:pt>
                <c:pt idx="11">
                  <c:v>0.10046367851622875</c:v>
                </c:pt>
                <c:pt idx="12">
                  <c:v>0.19319938176197837</c:v>
                </c:pt>
                <c:pt idx="13">
                  <c:v>4.6367851622874809E-2</c:v>
                </c:pt>
              </c:numCache>
            </c:numRef>
          </c:val>
          <c:extLst>
            <c:ext xmlns:c16="http://schemas.microsoft.com/office/drawing/2014/chart" uri="{C3380CC4-5D6E-409C-BE32-E72D297353CC}">
              <c16:uniqueId val="{0000001C-D852-4423-875C-6BC69654BD04}"/>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7.3985281964251262E-2"/>
          <c:y val="0.83604393837023117"/>
          <c:w val="0.86424301428654782"/>
          <c:h val="0.163956061629768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834</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Vanetta</dc:creator>
  <cp:keywords/>
  <dc:description/>
  <cp:lastModifiedBy>Agustin Vanetta</cp:lastModifiedBy>
  <cp:revision>26</cp:revision>
  <dcterms:created xsi:type="dcterms:W3CDTF">2021-11-16T00:40:00Z</dcterms:created>
  <dcterms:modified xsi:type="dcterms:W3CDTF">2022-01-08T16:14:00Z</dcterms:modified>
</cp:coreProperties>
</file>