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2945"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Style w:val="Textoennegrita"/>
          <w:rFonts w:ascii="Arial" w:hAnsi="Arial" w:cs="Arial"/>
          <w:color w:val="000000"/>
          <w:sz w:val="22"/>
          <w:szCs w:val="22"/>
          <w:lang w:val="es-ES"/>
        </w:rPr>
        <w:t>A)    Impuesto a las Ganancias</w:t>
      </w:r>
    </w:p>
    <w:p w14:paraId="57F804BF"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color w:val="000000"/>
          <w:sz w:val="22"/>
          <w:szCs w:val="22"/>
        </w:rPr>
        <w:t> </w:t>
      </w:r>
    </w:p>
    <w:p w14:paraId="60DAF491" w14:textId="7DE74891" w:rsidR="00346D2E" w:rsidRPr="001A2B98" w:rsidRDefault="00346D2E" w:rsidP="00D70447">
      <w:pPr>
        <w:pStyle w:val="NormalWeb"/>
        <w:shd w:val="clear" w:color="auto" w:fill="FFFFFF"/>
        <w:spacing w:before="0" w:beforeAutospacing="0" w:after="150" w:afterAutospacing="0"/>
        <w:jc w:val="both"/>
        <w:rPr>
          <w:rStyle w:val="Textoennegrita"/>
          <w:rFonts w:ascii="Arial" w:hAnsi="Arial" w:cs="Arial"/>
          <w:b w:val="0"/>
          <w:bCs w:val="0"/>
          <w:color w:val="000000"/>
          <w:sz w:val="22"/>
          <w:szCs w:val="22"/>
          <w:lang w:val="es-ES"/>
        </w:rPr>
      </w:pPr>
      <w:r w:rsidRPr="001A2B98">
        <w:rPr>
          <w:rFonts w:ascii="Arial" w:hAnsi="Arial" w:cs="Arial"/>
          <w:b/>
          <w:bCs/>
          <w:color w:val="000000"/>
          <w:sz w:val="22"/>
          <w:szCs w:val="22"/>
          <w:highlight w:val="green"/>
          <w:lang w:val="es-ES"/>
        </w:rPr>
        <w:t>1)</w:t>
      </w:r>
      <w:r w:rsidRPr="001A2B98">
        <w:rPr>
          <w:rFonts w:ascii="Arial" w:hAnsi="Arial" w:cs="Arial"/>
          <w:b/>
          <w:bCs/>
          <w:color w:val="000000"/>
          <w:sz w:val="22"/>
          <w:szCs w:val="22"/>
          <w:lang w:val="es-ES"/>
        </w:rPr>
        <w:t xml:space="preserve"> Indique cuáles son los sujetos obligados de presentar la declaración jurada determinativa del Impuesto a las Ganancias. </w:t>
      </w:r>
      <w:r w:rsidRPr="001A2B98">
        <w:rPr>
          <w:rStyle w:val="Textoennegrita"/>
          <w:rFonts w:ascii="Arial" w:hAnsi="Arial" w:cs="Arial"/>
          <w:b w:val="0"/>
          <w:bCs w:val="0"/>
          <w:color w:val="000000"/>
          <w:sz w:val="22"/>
          <w:szCs w:val="22"/>
          <w:lang w:val="es-ES"/>
        </w:rPr>
        <w:t>(10 puntos)</w:t>
      </w:r>
    </w:p>
    <w:p w14:paraId="2CD7D2EB" w14:textId="2FAD41C5" w:rsidR="003D56F3" w:rsidRPr="001A2B98" w:rsidRDefault="003D56F3" w:rsidP="00D70447">
      <w:pPr>
        <w:pStyle w:val="NormalWeb"/>
        <w:shd w:val="clear" w:color="auto" w:fill="FFFFFF"/>
        <w:spacing w:before="0" w:beforeAutospacing="0" w:after="150" w:afterAutospacing="0"/>
        <w:jc w:val="both"/>
        <w:rPr>
          <w:rFonts w:ascii="Arial" w:hAnsi="Arial" w:cs="Arial"/>
          <w:sz w:val="22"/>
          <w:szCs w:val="22"/>
        </w:rPr>
      </w:pPr>
      <w:r w:rsidRPr="001A2B98">
        <w:rPr>
          <w:rFonts w:ascii="Arial" w:hAnsi="Arial" w:cs="Arial"/>
          <w:sz w:val="22"/>
          <w:szCs w:val="22"/>
        </w:rPr>
        <w:t xml:space="preserve">El Impuesto a las Ganancias se aplica sobre todas las ganancias obtenidas por personas humanas, personas jurídicas y por las sucesiones </w:t>
      </w:r>
      <w:r w:rsidR="00D42DDD" w:rsidRPr="001A2B98">
        <w:rPr>
          <w:rFonts w:ascii="Arial" w:hAnsi="Arial" w:cs="Arial"/>
          <w:sz w:val="22"/>
          <w:szCs w:val="22"/>
        </w:rPr>
        <w:t>indivisas;</w:t>
      </w:r>
      <w:r w:rsidR="00E21BA3" w:rsidRPr="001A2B98">
        <w:rPr>
          <w:rFonts w:ascii="Arial" w:hAnsi="Arial" w:cs="Arial"/>
          <w:sz w:val="22"/>
          <w:szCs w:val="22"/>
        </w:rPr>
        <w:t xml:space="preserve"> estos tributan sobre la totalidad de sus ganancias obtenidas en el país o en el exterior</w:t>
      </w:r>
      <w:r w:rsidR="003F2310" w:rsidRPr="001A2B98">
        <w:rPr>
          <w:rFonts w:ascii="Arial" w:hAnsi="Arial" w:cs="Arial"/>
          <w:sz w:val="22"/>
          <w:szCs w:val="22"/>
        </w:rPr>
        <w:t xml:space="preserve">. Las categorías que alcanza este impuesto </w:t>
      </w:r>
      <w:r w:rsidR="00D42DDD" w:rsidRPr="001A2B98">
        <w:rPr>
          <w:rFonts w:ascii="Arial" w:hAnsi="Arial" w:cs="Arial"/>
          <w:sz w:val="22"/>
          <w:szCs w:val="22"/>
        </w:rPr>
        <w:t>son:</w:t>
      </w:r>
      <w:r w:rsidR="003F2310" w:rsidRPr="001A2B98">
        <w:rPr>
          <w:rFonts w:ascii="Arial" w:hAnsi="Arial" w:cs="Arial"/>
          <w:sz w:val="22"/>
          <w:szCs w:val="22"/>
        </w:rPr>
        <w:t xml:space="preserve"> </w:t>
      </w:r>
    </w:p>
    <w:p w14:paraId="642D06B8" w14:textId="0989E5F4" w:rsidR="003F2310" w:rsidRPr="001A2B98" w:rsidRDefault="003F2310" w:rsidP="00D70447">
      <w:pPr>
        <w:pStyle w:val="NormalWeb"/>
        <w:numPr>
          <w:ilvl w:val="0"/>
          <w:numId w:val="1"/>
        </w:numPr>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sz w:val="22"/>
          <w:szCs w:val="22"/>
        </w:rPr>
        <w:t>Renta del suelo</w:t>
      </w:r>
      <w:r w:rsidR="00D42DDD" w:rsidRPr="001A2B98">
        <w:rPr>
          <w:rFonts w:ascii="Arial" w:hAnsi="Arial" w:cs="Arial"/>
          <w:sz w:val="22"/>
          <w:szCs w:val="22"/>
        </w:rPr>
        <w:t>.</w:t>
      </w:r>
      <w:r w:rsidR="000273D9" w:rsidRPr="001A2B98">
        <w:rPr>
          <w:rFonts w:ascii="Arial" w:hAnsi="Arial" w:cs="Arial"/>
          <w:sz w:val="22"/>
          <w:szCs w:val="22"/>
        </w:rPr>
        <w:t xml:space="preserve"> (Ej.: Ganancias derivadas de Bienes raíces)</w:t>
      </w:r>
    </w:p>
    <w:p w14:paraId="4AC3CD68" w14:textId="3D9C8C02" w:rsidR="003F2310" w:rsidRPr="001A2B98" w:rsidRDefault="003F2310" w:rsidP="00D70447">
      <w:pPr>
        <w:pStyle w:val="NormalWeb"/>
        <w:numPr>
          <w:ilvl w:val="0"/>
          <w:numId w:val="1"/>
        </w:numPr>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sz w:val="22"/>
          <w:szCs w:val="22"/>
        </w:rPr>
        <w:t>Renta de capitales</w:t>
      </w:r>
      <w:r w:rsidR="000273D9" w:rsidRPr="001A2B98">
        <w:rPr>
          <w:rFonts w:ascii="Arial" w:hAnsi="Arial" w:cs="Arial"/>
          <w:sz w:val="22"/>
          <w:szCs w:val="22"/>
        </w:rPr>
        <w:t xml:space="preserve"> (Ej.: Inversiones)</w:t>
      </w:r>
    </w:p>
    <w:p w14:paraId="17CF7026" w14:textId="518DCACA" w:rsidR="003F2310" w:rsidRPr="001A2B98" w:rsidRDefault="003F2310" w:rsidP="00D70447">
      <w:pPr>
        <w:pStyle w:val="NormalWeb"/>
        <w:numPr>
          <w:ilvl w:val="0"/>
          <w:numId w:val="1"/>
        </w:numPr>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sz w:val="22"/>
          <w:szCs w:val="22"/>
        </w:rPr>
        <w:t>Beneficios de las empresa y ciertos auxiliares de comercio</w:t>
      </w:r>
      <w:r w:rsidR="00D42DDD" w:rsidRPr="001A2B98">
        <w:rPr>
          <w:rFonts w:ascii="Arial" w:hAnsi="Arial" w:cs="Arial"/>
          <w:sz w:val="22"/>
          <w:szCs w:val="22"/>
        </w:rPr>
        <w:t>.</w:t>
      </w:r>
      <w:r w:rsidR="00AE61ED" w:rsidRPr="001A2B98">
        <w:rPr>
          <w:rFonts w:ascii="Arial" w:hAnsi="Arial" w:cs="Arial"/>
          <w:sz w:val="22"/>
          <w:szCs w:val="22"/>
        </w:rPr>
        <w:t xml:space="preserve"> </w:t>
      </w:r>
      <w:r w:rsidR="000273D9" w:rsidRPr="001A2B98">
        <w:rPr>
          <w:rFonts w:ascii="Arial" w:hAnsi="Arial" w:cs="Arial"/>
          <w:sz w:val="22"/>
          <w:szCs w:val="22"/>
        </w:rPr>
        <w:t xml:space="preserve"> (Ej.: Ejercicio profesional independiente)</w:t>
      </w:r>
    </w:p>
    <w:p w14:paraId="5883FFDA" w14:textId="0B23DE89" w:rsidR="003F2310" w:rsidRPr="001A2B98" w:rsidRDefault="00D42DDD" w:rsidP="00D70447">
      <w:pPr>
        <w:pStyle w:val="NormalWeb"/>
        <w:numPr>
          <w:ilvl w:val="0"/>
          <w:numId w:val="1"/>
        </w:numPr>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sz w:val="22"/>
          <w:szCs w:val="22"/>
        </w:rPr>
        <w:t>Ingresos del trabajo personal en relación de dependencia.</w:t>
      </w:r>
      <w:r w:rsidR="000273D9" w:rsidRPr="001A2B98">
        <w:rPr>
          <w:rFonts w:ascii="Arial" w:hAnsi="Arial" w:cs="Arial"/>
          <w:sz w:val="22"/>
          <w:szCs w:val="22"/>
        </w:rPr>
        <w:t xml:space="preserve"> (Ej.: Sueldos alcanzados por impuestos a las ganancias)</w:t>
      </w:r>
    </w:p>
    <w:p w14:paraId="4AE54F11"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color w:val="000000"/>
          <w:sz w:val="22"/>
          <w:szCs w:val="22"/>
          <w:lang w:val="es-ES"/>
        </w:rPr>
        <w:t> </w:t>
      </w:r>
    </w:p>
    <w:p w14:paraId="5A172AB2" w14:textId="0C19C74C" w:rsidR="00346D2E" w:rsidRPr="001A2B98" w:rsidRDefault="00346D2E" w:rsidP="00D70447">
      <w:pPr>
        <w:pStyle w:val="NormalWeb"/>
        <w:shd w:val="clear" w:color="auto" w:fill="FFFFFF"/>
        <w:spacing w:before="0" w:beforeAutospacing="0" w:after="150" w:afterAutospacing="0"/>
        <w:jc w:val="both"/>
        <w:rPr>
          <w:rFonts w:ascii="Arial" w:hAnsi="Arial" w:cs="Arial"/>
          <w:b/>
          <w:bCs/>
          <w:color w:val="000000"/>
          <w:sz w:val="22"/>
          <w:szCs w:val="22"/>
        </w:rPr>
      </w:pPr>
      <w:r w:rsidRPr="001A2B98">
        <w:rPr>
          <w:rFonts w:ascii="Arial" w:hAnsi="Arial" w:cs="Arial"/>
          <w:b/>
          <w:bCs/>
          <w:color w:val="000000"/>
          <w:sz w:val="22"/>
          <w:szCs w:val="22"/>
          <w:highlight w:val="green"/>
          <w:lang w:val="es-ES"/>
        </w:rPr>
        <w:t>2)</w:t>
      </w:r>
      <w:r w:rsidRPr="001A2B98">
        <w:rPr>
          <w:rFonts w:ascii="Arial" w:hAnsi="Arial" w:cs="Arial"/>
          <w:b/>
          <w:bCs/>
          <w:color w:val="000000"/>
          <w:sz w:val="22"/>
          <w:szCs w:val="22"/>
          <w:lang w:val="es-ES"/>
        </w:rPr>
        <w:t xml:space="preserve"> Enrique Pérez, es argentino, reside en Buenos Aires, de </w:t>
      </w:r>
      <w:r w:rsidR="000273D9" w:rsidRPr="001A2B98">
        <w:rPr>
          <w:rFonts w:ascii="Arial" w:hAnsi="Arial" w:cs="Arial"/>
          <w:b/>
          <w:bCs/>
          <w:color w:val="000000"/>
          <w:sz w:val="22"/>
          <w:szCs w:val="22"/>
          <w:lang w:val="es-ES"/>
        </w:rPr>
        <w:t>enero</w:t>
      </w:r>
      <w:r w:rsidRPr="001A2B98">
        <w:rPr>
          <w:rFonts w:ascii="Arial" w:hAnsi="Arial" w:cs="Arial"/>
          <w:b/>
          <w:bCs/>
          <w:color w:val="000000"/>
          <w:sz w:val="22"/>
          <w:szCs w:val="22"/>
          <w:lang w:val="es-ES"/>
        </w:rPr>
        <w:t xml:space="preserve"> a </w:t>
      </w:r>
      <w:r w:rsidR="000273D9" w:rsidRPr="001A2B98">
        <w:rPr>
          <w:rFonts w:ascii="Arial" w:hAnsi="Arial" w:cs="Arial"/>
          <w:b/>
          <w:bCs/>
          <w:color w:val="000000"/>
          <w:sz w:val="22"/>
          <w:szCs w:val="22"/>
          <w:lang w:val="es-ES"/>
        </w:rPr>
        <w:t>abril</w:t>
      </w:r>
      <w:r w:rsidRPr="001A2B98">
        <w:rPr>
          <w:rFonts w:ascii="Arial" w:hAnsi="Arial" w:cs="Arial"/>
          <w:b/>
          <w:bCs/>
          <w:color w:val="000000"/>
          <w:sz w:val="22"/>
          <w:szCs w:val="22"/>
          <w:lang w:val="es-ES"/>
        </w:rPr>
        <w:t xml:space="preserve">, luego de </w:t>
      </w:r>
      <w:r w:rsidR="000273D9" w:rsidRPr="001A2B98">
        <w:rPr>
          <w:rFonts w:ascii="Arial" w:hAnsi="Arial" w:cs="Arial"/>
          <w:b/>
          <w:bCs/>
          <w:color w:val="000000"/>
          <w:sz w:val="22"/>
          <w:szCs w:val="22"/>
          <w:lang w:val="es-ES"/>
        </w:rPr>
        <w:t>mayo</w:t>
      </w:r>
      <w:r w:rsidRPr="001A2B98">
        <w:rPr>
          <w:rFonts w:ascii="Arial" w:hAnsi="Arial" w:cs="Arial"/>
          <w:b/>
          <w:bCs/>
          <w:color w:val="000000"/>
          <w:sz w:val="22"/>
          <w:szCs w:val="22"/>
          <w:lang w:val="es-ES"/>
        </w:rPr>
        <w:t xml:space="preserve"> a Julio va de vacaciones por Europa donde vive uno de sus hijos, luego vuelve a Buenos Aires de Agosto a </w:t>
      </w:r>
      <w:r w:rsidR="000273D9" w:rsidRPr="001A2B98">
        <w:rPr>
          <w:rFonts w:ascii="Arial" w:hAnsi="Arial" w:cs="Arial"/>
          <w:b/>
          <w:bCs/>
          <w:color w:val="000000"/>
          <w:sz w:val="22"/>
          <w:szCs w:val="22"/>
          <w:lang w:val="es-ES"/>
        </w:rPr>
        <w:t>noviembre</w:t>
      </w:r>
      <w:r w:rsidRPr="001A2B98">
        <w:rPr>
          <w:rFonts w:ascii="Arial" w:hAnsi="Arial" w:cs="Arial"/>
          <w:b/>
          <w:bCs/>
          <w:color w:val="000000"/>
          <w:sz w:val="22"/>
          <w:szCs w:val="22"/>
          <w:lang w:val="es-ES"/>
        </w:rPr>
        <w:t xml:space="preserve"> ya que es profesor en una universidad y dicta sus clases.</w:t>
      </w:r>
    </w:p>
    <w:p w14:paraId="45CDE19B" w14:textId="4800E864" w:rsidR="00346D2E" w:rsidRPr="001A2B98" w:rsidRDefault="00346D2E" w:rsidP="00D70447">
      <w:pPr>
        <w:pStyle w:val="NormalWeb"/>
        <w:shd w:val="clear" w:color="auto" w:fill="FFFFFF"/>
        <w:spacing w:before="0" w:beforeAutospacing="0" w:after="150" w:afterAutospacing="0"/>
        <w:jc w:val="both"/>
        <w:rPr>
          <w:rFonts w:ascii="Arial" w:hAnsi="Arial" w:cs="Arial"/>
          <w:b/>
          <w:bCs/>
          <w:color w:val="000000"/>
          <w:sz w:val="22"/>
          <w:szCs w:val="22"/>
        </w:rPr>
      </w:pPr>
      <w:r w:rsidRPr="001A2B98">
        <w:rPr>
          <w:rFonts w:ascii="Arial" w:hAnsi="Arial" w:cs="Arial"/>
          <w:b/>
          <w:bCs/>
          <w:color w:val="000000"/>
          <w:sz w:val="22"/>
          <w:szCs w:val="22"/>
          <w:lang w:val="es-ES"/>
        </w:rPr>
        <w:t xml:space="preserve">Para finalizar el año, durante todo el mes de </w:t>
      </w:r>
      <w:r w:rsidR="000273D9" w:rsidRPr="001A2B98">
        <w:rPr>
          <w:rFonts w:ascii="Arial" w:hAnsi="Arial" w:cs="Arial"/>
          <w:b/>
          <w:bCs/>
          <w:color w:val="000000"/>
          <w:sz w:val="22"/>
          <w:szCs w:val="22"/>
          <w:lang w:val="es-ES"/>
        </w:rPr>
        <w:t>diciembre</w:t>
      </w:r>
      <w:r w:rsidRPr="001A2B98">
        <w:rPr>
          <w:rFonts w:ascii="Arial" w:hAnsi="Arial" w:cs="Arial"/>
          <w:b/>
          <w:bCs/>
          <w:color w:val="000000"/>
          <w:sz w:val="22"/>
          <w:szCs w:val="22"/>
          <w:lang w:val="es-ES"/>
        </w:rPr>
        <w:t xml:space="preserve"> se instala en Punta del Este.</w:t>
      </w:r>
    </w:p>
    <w:p w14:paraId="0654C337" w14:textId="58759265" w:rsidR="00346D2E" w:rsidRPr="001A2B98" w:rsidRDefault="00346D2E" w:rsidP="00D70447">
      <w:pPr>
        <w:pStyle w:val="NormalWeb"/>
        <w:shd w:val="clear" w:color="auto" w:fill="FFFFFF"/>
        <w:spacing w:before="0" w:beforeAutospacing="0" w:after="150" w:afterAutospacing="0"/>
        <w:jc w:val="both"/>
        <w:rPr>
          <w:rStyle w:val="Textoennegrita"/>
          <w:rFonts w:ascii="Arial" w:hAnsi="Arial" w:cs="Arial"/>
          <w:color w:val="000000"/>
          <w:sz w:val="22"/>
          <w:szCs w:val="22"/>
          <w:lang w:val="es-ES"/>
        </w:rPr>
      </w:pPr>
      <w:r w:rsidRPr="001A2B98">
        <w:rPr>
          <w:rFonts w:ascii="Arial" w:hAnsi="Arial" w:cs="Arial"/>
          <w:b/>
          <w:bCs/>
          <w:color w:val="000000"/>
          <w:sz w:val="22"/>
          <w:szCs w:val="22"/>
          <w:lang w:val="es-ES"/>
        </w:rPr>
        <w:t>Responda, ¿es considerado residente argentino?, ¿Por qué? De serlo, ¿cómo debería tributar en el impuesto a las ganancias?</w:t>
      </w:r>
      <w:r w:rsidRPr="001A2B98">
        <w:rPr>
          <w:rFonts w:ascii="Arial" w:hAnsi="Arial" w:cs="Arial"/>
          <w:color w:val="000000"/>
          <w:sz w:val="22"/>
          <w:szCs w:val="22"/>
          <w:lang w:val="es-ES"/>
        </w:rPr>
        <w:t> </w:t>
      </w:r>
      <w:r w:rsidRPr="001A2B98">
        <w:rPr>
          <w:rStyle w:val="Textoennegrita"/>
          <w:rFonts w:ascii="Arial" w:hAnsi="Arial" w:cs="Arial"/>
          <w:color w:val="000000"/>
          <w:sz w:val="22"/>
          <w:szCs w:val="22"/>
          <w:lang w:val="es-ES"/>
        </w:rPr>
        <w:t>(10 puntos)</w:t>
      </w:r>
    </w:p>
    <w:p w14:paraId="7CEE4E12" w14:textId="566C0284" w:rsidR="00A0602D" w:rsidRPr="001A2B98" w:rsidRDefault="008870DB" w:rsidP="00D70447">
      <w:pPr>
        <w:pStyle w:val="NormalWeb"/>
        <w:shd w:val="clear" w:color="auto" w:fill="FFFFFF"/>
        <w:spacing w:before="0" w:beforeAutospacing="0" w:after="150" w:afterAutospacing="0"/>
        <w:jc w:val="both"/>
        <w:rPr>
          <w:rFonts w:ascii="Arial" w:hAnsi="Arial" w:cs="Arial"/>
          <w:b/>
          <w:bCs/>
          <w:sz w:val="22"/>
          <w:szCs w:val="22"/>
        </w:rPr>
      </w:pPr>
      <w:r w:rsidRPr="001A2B98">
        <w:rPr>
          <w:rFonts w:ascii="Arial" w:hAnsi="Arial" w:cs="Arial"/>
          <w:sz w:val="22"/>
          <w:szCs w:val="22"/>
        </w:rPr>
        <w:t>Es considerado residente argentino debido a que, se consideran residentes en Argentina a las personas que vivan más de seis meses en el país en el transcurso del año fiscal, en este caso Enrique Pérez supera el periodo mencionado</w:t>
      </w:r>
      <w:r w:rsidR="0029292F" w:rsidRPr="001A2B98">
        <w:rPr>
          <w:rFonts w:ascii="Arial" w:hAnsi="Arial" w:cs="Arial"/>
          <w:sz w:val="22"/>
          <w:szCs w:val="22"/>
        </w:rPr>
        <w:t xml:space="preserve"> por lo que tributa sobre la totalidad de sus ganancias obtenidas en el país ya que en el exterior no realizo actividades laborales, pero en el caso de que así fuera también corresponde por esta actividad.</w:t>
      </w:r>
    </w:p>
    <w:p w14:paraId="7CD1C887"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color w:val="000000"/>
          <w:sz w:val="22"/>
          <w:szCs w:val="22"/>
        </w:rPr>
        <w:t> </w:t>
      </w:r>
    </w:p>
    <w:p w14:paraId="1706E20D" w14:textId="7F67C1BB" w:rsidR="00346D2E" w:rsidRPr="001A2B98" w:rsidRDefault="00346D2E" w:rsidP="00D70447">
      <w:pPr>
        <w:pStyle w:val="NormalWeb"/>
        <w:shd w:val="clear" w:color="auto" w:fill="FFFFFF"/>
        <w:spacing w:before="0" w:beforeAutospacing="0" w:after="150" w:afterAutospacing="0"/>
        <w:jc w:val="both"/>
        <w:rPr>
          <w:rStyle w:val="Textoennegrita"/>
          <w:rFonts w:ascii="Arial" w:hAnsi="Arial" w:cs="Arial"/>
          <w:color w:val="000000"/>
          <w:sz w:val="22"/>
          <w:szCs w:val="22"/>
          <w:lang w:val="es-ES"/>
        </w:rPr>
      </w:pPr>
      <w:r w:rsidRPr="001A2B98">
        <w:rPr>
          <w:rFonts w:ascii="Arial" w:hAnsi="Arial" w:cs="Arial"/>
          <w:b/>
          <w:bCs/>
          <w:color w:val="000000"/>
          <w:sz w:val="22"/>
          <w:szCs w:val="22"/>
          <w:highlight w:val="green"/>
          <w:lang w:val="es-ES"/>
        </w:rPr>
        <w:t>3</w:t>
      </w:r>
      <w:r w:rsidRPr="001A2B98">
        <w:rPr>
          <w:rFonts w:ascii="Arial" w:hAnsi="Arial" w:cs="Arial"/>
          <w:b/>
          <w:bCs/>
          <w:color w:val="000000"/>
          <w:sz w:val="22"/>
          <w:szCs w:val="22"/>
          <w:lang w:val="es-ES"/>
        </w:rPr>
        <w:t>) Martin Coca adquirió bonos en el exterior, ¿Cómo debe proceder al recibir la renta de estos?</w:t>
      </w:r>
      <w:r w:rsidRPr="001A2B98">
        <w:rPr>
          <w:rFonts w:ascii="Arial" w:hAnsi="Arial" w:cs="Arial"/>
          <w:color w:val="000000"/>
          <w:sz w:val="22"/>
          <w:szCs w:val="22"/>
          <w:lang w:val="es-ES"/>
        </w:rPr>
        <w:t> </w:t>
      </w:r>
      <w:r w:rsidRPr="001A2B98">
        <w:rPr>
          <w:rStyle w:val="Textoennegrita"/>
          <w:rFonts w:ascii="Arial" w:hAnsi="Arial" w:cs="Arial"/>
          <w:color w:val="000000"/>
          <w:sz w:val="22"/>
          <w:szCs w:val="22"/>
          <w:lang w:val="es-ES"/>
        </w:rPr>
        <w:t>(10 puntos)</w:t>
      </w:r>
      <w:r w:rsidR="00A0602D" w:rsidRPr="001A2B98">
        <w:rPr>
          <w:rStyle w:val="Textoennegrita"/>
          <w:rFonts w:ascii="Arial" w:hAnsi="Arial" w:cs="Arial"/>
          <w:color w:val="000000"/>
          <w:sz w:val="22"/>
          <w:szCs w:val="22"/>
          <w:lang w:val="es-ES"/>
        </w:rPr>
        <w:t>.</w:t>
      </w:r>
    </w:p>
    <w:p w14:paraId="7E1ABBB3" w14:textId="73215818" w:rsidR="00346D2E" w:rsidRPr="001A2B98" w:rsidRDefault="00CF0A20" w:rsidP="00D70447">
      <w:pPr>
        <w:pStyle w:val="NormalWeb"/>
        <w:shd w:val="clear" w:color="auto" w:fill="FFFFFF"/>
        <w:spacing w:before="0" w:beforeAutospacing="0" w:after="150" w:afterAutospacing="0"/>
        <w:jc w:val="both"/>
        <w:rPr>
          <w:rFonts w:ascii="Arial" w:hAnsi="Arial" w:cs="Arial"/>
          <w:b/>
          <w:bCs/>
          <w:color w:val="000000"/>
          <w:sz w:val="22"/>
          <w:szCs w:val="22"/>
          <w:lang w:val="es-ES"/>
        </w:rPr>
      </w:pPr>
      <w:r w:rsidRPr="001A2B98">
        <w:rPr>
          <w:rFonts w:ascii="Arial" w:hAnsi="Arial" w:cs="Arial"/>
          <w:sz w:val="22"/>
          <w:szCs w:val="22"/>
        </w:rPr>
        <w:t>El Impuesto a las Ganancias se aplica sobre todas las ganancias obtenidas por personas humanas, personas jurídicas y por las sucesiones indivisas</w:t>
      </w:r>
      <w:r w:rsidRPr="001A2B98">
        <w:rPr>
          <w:rFonts w:ascii="Arial" w:hAnsi="Arial" w:cs="Arial"/>
          <w:sz w:val="22"/>
          <w:szCs w:val="22"/>
        </w:rPr>
        <w:t xml:space="preserve">. </w:t>
      </w:r>
      <w:r w:rsidRPr="001A2B98">
        <w:rPr>
          <w:rFonts w:ascii="Arial" w:hAnsi="Arial" w:cs="Arial"/>
          <w:sz w:val="22"/>
          <w:szCs w:val="22"/>
        </w:rPr>
        <w:t>Los sujetos a que se refiere el párrafo anterior residentes en el país, tributan sobre la totalidad de sus ganancias obtenidas en el país o</w:t>
      </w:r>
      <w:r w:rsidRPr="001A2B98">
        <w:rPr>
          <w:rFonts w:ascii="Arial" w:hAnsi="Arial" w:cs="Arial"/>
          <w:sz w:val="22"/>
          <w:szCs w:val="22"/>
        </w:rPr>
        <w:t>,</w:t>
      </w:r>
      <w:r w:rsidRPr="001A2B98">
        <w:rPr>
          <w:rFonts w:ascii="Arial" w:hAnsi="Arial" w:cs="Arial"/>
          <w:sz w:val="22"/>
          <w:szCs w:val="22"/>
        </w:rPr>
        <w:t xml:space="preserve"> </w:t>
      </w:r>
      <w:r w:rsidRPr="001A2B98">
        <w:rPr>
          <w:rFonts w:ascii="Arial" w:hAnsi="Arial" w:cs="Arial"/>
          <w:sz w:val="22"/>
          <w:szCs w:val="22"/>
        </w:rPr>
        <w:t>como en el caso de Martin Coca, en</w:t>
      </w:r>
      <w:r w:rsidRPr="001A2B98">
        <w:rPr>
          <w:rFonts w:ascii="Arial" w:hAnsi="Arial" w:cs="Arial"/>
          <w:sz w:val="22"/>
          <w:szCs w:val="22"/>
        </w:rPr>
        <w:t xml:space="preserve"> el exterior.</w:t>
      </w:r>
      <w:r w:rsidRPr="001A2B98">
        <w:rPr>
          <w:rFonts w:ascii="Arial" w:hAnsi="Arial" w:cs="Arial"/>
          <w:sz w:val="22"/>
          <w:szCs w:val="22"/>
        </w:rPr>
        <w:t xml:space="preserve"> </w:t>
      </w:r>
      <w:r w:rsidR="001A2B98" w:rsidRPr="001A2B98">
        <w:rPr>
          <w:rFonts w:ascii="Arial" w:hAnsi="Arial" w:cs="Arial"/>
          <w:sz w:val="22"/>
          <w:szCs w:val="22"/>
        </w:rPr>
        <w:t>Es decir, en el caso de Martin Coca al recibir la renta de estos deberá tributar según el monto que corresponda.</w:t>
      </w:r>
    </w:p>
    <w:p w14:paraId="629FBDF5"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Style w:val="Textoennegrita"/>
          <w:rFonts w:ascii="Arial" w:hAnsi="Arial" w:cs="Arial"/>
          <w:color w:val="000000"/>
          <w:sz w:val="22"/>
          <w:szCs w:val="22"/>
          <w:lang w:val="es-ES"/>
        </w:rPr>
        <w:t>B)     Impuesto a los Bienes Personales</w:t>
      </w:r>
    </w:p>
    <w:p w14:paraId="25474AA1"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color w:val="000000"/>
          <w:sz w:val="22"/>
          <w:szCs w:val="22"/>
        </w:rPr>
        <w:t> </w:t>
      </w:r>
    </w:p>
    <w:p w14:paraId="3B06C82C" w14:textId="0E8E9245" w:rsidR="00346D2E" w:rsidRPr="001A2B98" w:rsidRDefault="00346D2E" w:rsidP="00D70447">
      <w:pPr>
        <w:pStyle w:val="NormalWeb"/>
        <w:shd w:val="clear" w:color="auto" w:fill="FFFFFF"/>
        <w:spacing w:before="0" w:beforeAutospacing="0" w:after="150" w:afterAutospacing="0"/>
        <w:jc w:val="both"/>
        <w:rPr>
          <w:rStyle w:val="Textoennegrita"/>
          <w:rFonts w:ascii="Arial" w:hAnsi="Arial" w:cs="Arial"/>
          <w:b w:val="0"/>
          <w:bCs w:val="0"/>
          <w:color w:val="000000"/>
          <w:sz w:val="22"/>
          <w:szCs w:val="22"/>
          <w:lang w:val="es-ES"/>
        </w:rPr>
      </w:pPr>
      <w:r w:rsidRPr="001A2B98">
        <w:rPr>
          <w:rFonts w:ascii="Arial" w:hAnsi="Arial" w:cs="Arial"/>
          <w:b/>
          <w:bCs/>
          <w:color w:val="000000"/>
          <w:sz w:val="22"/>
          <w:szCs w:val="22"/>
          <w:highlight w:val="green"/>
          <w:lang w:val="es-ES"/>
        </w:rPr>
        <w:t>4)</w:t>
      </w:r>
      <w:r w:rsidRPr="001A2B98">
        <w:rPr>
          <w:rFonts w:ascii="Arial" w:hAnsi="Arial" w:cs="Arial"/>
          <w:b/>
          <w:bCs/>
          <w:color w:val="000000"/>
          <w:sz w:val="22"/>
          <w:szCs w:val="22"/>
          <w:lang w:val="es-ES"/>
        </w:rPr>
        <w:t xml:space="preserve"> Indique quiénes están obligados a presentar la declaración jurada informativa y determinativa del impuesto a los Bienes Personales. </w:t>
      </w:r>
      <w:r w:rsidRPr="001A2B98">
        <w:rPr>
          <w:rStyle w:val="Textoennegrita"/>
          <w:rFonts w:ascii="Arial" w:hAnsi="Arial" w:cs="Arial"/>
          <w:b w:val="0"/>
          <w:bCs w:val="0"/>
          <w:color w:val="000000"/>
          <w:sz w:val="22"/>
          <w:szCs w:val="22"/>
          <w:lang w:val="es-ES"/>
        </w:rPr>
        <w:t>(10 puntos)</w:t>
      </w:r>
    </w:p>
    <w:p w14:paraId="05AB1F4F" w14:textId="77777777" w:rsidR="006D3A14" w:rsidRPr="001A2B98" w:rsidRDefault="00C44F7B" w:rsidP="00D70447">
      <w:pPr>
        <w:pStyle w:val="NormalWeb"/>
        <w:shd w:val="clear" w:color="auto" w:fill="FFFFFF"/>
        <w:spacing w:before="0" w:beforeAutospacing="0" w:after="150" w:afterAutospacing="0"/>
        <w:jc w:val="both"/>
        <w:rPr>
          <w:rFonts w:ascii="Arial" w:hAnsi="Arial" w:cs="Arial"/>
          <w:sz w:val="22"/>
          <w:szCs w:val="22"/>
        </w:rPr>
      </w:pPr>
      <w:r w:rsidRPr="001A2B98">
        <w:rPr>
          <w:rFonts w:ascii="Arial" w:hAnsi="Arial" w:cs="Arial"/>
          <w:sz w:val="22"/>
          <w:szCs w:val="22"/>
        </w:rPr>
        <w:t xml:space="preserve">Los sujetos pasivos de este impuesto son: </w:t>
      </w:r>
    </w:p>
    <w:p w14:paraId="7FACE08E" w14:textId="77777777" w:rsidR="006D3A14" w:rsidRPr="001A2B98" w:rsidRDefault="00C44F7B" w:rsidP="00D70447">
      <w:pPr>
        <w:pStyle w:val="NormalWeb"/>
        <w:shd w:val="clear" w:color="auto" w:fill="FFFFFF"/>
        <w:spacing w:before="0" w:beforeAutospacing="0" w:after="150" w:afterAutospacing="0"/>
        <w:jc w:val="both"/>
        <w:rPr>
          <w:rFonts w:ascii="Arial" w:hAnsi="Arial" w:cs="Arial"/>
          <w:sz w:val="22"/>
          <w:szCs w:val="22"/>
        </w:rPr>
      </w:pPr>
      <w:r w:rsidRPr="001A2B98">
        <w:rPr>
          <w:rFonts w:ascii="Arial" w:hAnsi="Arial" w:cs="Arial"/>
          <w:sz w:val="22"/>
          <w:szCs w:val="22"/>
        </w:rPr>
        <w:lastRenderedPageBreak/>
        <w:t xml:space="preserve">a) Las personas físicas domiciliadas en el país y las sucesiones indivisas radicadas en el mismo, por los bienes situados en el país y en el exterior. </w:t>
      </w:r>
    </w:p>
    <w:p w14:paraId="0E8E075C" w14:textId="10DCBF8B" w:rsidR="00C44F7B" w:rsidRPr="001A2B98" w:rsidRDefault="00C44F7B"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sz w:val="22"/>
          <w:szCs w:val="22"/>
        </w:rPr>
        <w:t>b) Las personas físicas domiciliadas en el exterior y las sucesiones indivisas radicadas en el mismo, por los bienes situados en el país</w:t>
      </w:r>
    </w:p>
    <w:p w14:paraId="0E3A16FB"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color w:val="000000"/>
          <w:sz w:val="22"/>
          <w:szCs w:val="22"/>
          <w:lang w:val="es-ES"/>
        </w:rPr>
        <w:t> </w:t>
      </w:r>
    </w:p>
    <w:p w14:paraId="65904A3D" w14:textId="779BCC95" w:rsidR="00346D2E" w:rsidRPr="001A2B98" w:rsidRDefault="00346D2E" w:rsidP="00D70447">
      <w:pPr>
        <w:pStyle w:val="NormalWeb"/>
        <w:shd w:val="clear" w:color="auto" w:fill="FFFFFF"/>
        <w:spacing w:before="0" w:beforeAutospacing="0" w:after="150" w:afterAutospacing="0"/>
        <w:jc w:val="both"/>
        <w:rPr>
          <w:rStyle w:val="Textoennegrita"/>
          <w:rFonts w:ascii="Arial" w:hAnsi="Arial" w:cs="Arial"/>
          <w:b w:val="0"/>
          <w:bCs w:val="0"/>
          <w:color w:val="000000"/>
          <w:sz w:val="22"/>
          <w:szCs w:val="22"/>
          <w:lang w:val="es-ES"/>
        </w:rPr>
      </w:pPr>
      <w:r w:rsidRPr="001A2B98">
        <w:rPr>
          <w:rFonts w:ascii="Arial" w:hAnsi="Arial" w:cs="Arial"/>
          <w:b/>
          <w:bCs/>
          <w:color w:val="000000"/>
          <w:sz w:val="22"/>
          <w:szCs w:val="22"/>
          <w:highlight w:val="green"/>
          <w:lang w:val="es-ES"/>
        </w:rPr>
        <w:t>5)</w:t>
      </w:r>
      <w:r w:rsidRPr="001A2B98">
        <w:rPr>
          <w:rFonts w:ascii="Arial" w:hAnsi="Arial" w:cs="Arial"/>
          <w:b/>
          <w:bCs/>
          <w:color w:val="000000"/>
          <w:sz w:val="22"/>
          <w:szCs w:val="22"/>
          <w:lang w:val="es-ES"/>
        </w:rPr>
        <w:t xml:space="preserve"> Enumere </w:t>
      </w:r>
      <w:r w:rsidR="006D3A14" w:rsidRPr="001A2B98">
        <w:rPr>
          <w:rFonts w:ascii="Arial" w:hAnsi="Arial" w:cs="Arial"/>
          <w:b/>
          <w:bCs/>
          <w:color w:val="000000"/>
          <w:sz w:val="22"/>
          <w:szCs w:val="22"/>
          <w:lang w:val="es-ES"/>
        </w:rPr>
        <w:t>al menos 5 tipo</w:t>
      </w:r>
      <w:r w:rsidRPr="001A2B98">
        <w:rPr>
          <w:rFonts w:ascii="Arial" w:hAnsi="Arial" w:cs="Arial"/>
          <w:b/>
          <w:bCs/>
          <w:color w:val="000000"/>
          <w:sz w:val="22"/>
          <w:szCs w:val="22"/>
          <w:lang w:val="es-ES"/>
        </w:rPr>
        <w:t xml:space="preserve"> de activos financieros que se encuentren exentos en el Impuesto a los Bienes Personales. </w:t>
      </w:r>
      <w:r w:rsidRPr="001A2B98">
        <w:rPr>
          <w:rStyle w:val="Textoennegrita"/>
          <w:rFonts w:ascii="Arial" w:hAnsi="Arial" w:cs="Arial"/>
          <w:b w:val="0"/>
          <w:bCs w:val="0"/>
          <w:color w:val="000000"/>
          <w:sz w:val="22"/>
          <w:szCs w:val="22"/>
          <w:lang w:val="es-ES"/>
        </w:rPr>
        <w:t>(10 puntos)</w:t>
      </w:r>
    </w:p>
    <w:p w14:paraId="1B9E5068" w14:textId="15BAA6FA" w:rsidR="005A2CE0" w:rsidRPr="001A2B98" w:rsidRDefault="005A2CE0" w:rsidP="00D70447">
      <w:pPr>
        <w:pStyle w:val="NormalWeb"/>
        <w:shd w:val="clear" w:color="auto" w:fill="FFFFFF"/>
        <w:spacing w:before="0" w:beforeAutospacing="0" w:after="150" w:afterAutospacing="0"/>
        <w:jc w:val="both"/>
        <w:rPr>
          <w:rStyle w:val="Textoennegrita"/>
          <w:rFonts w:ascii="Arial" w:hAnsi="Arial" w:cs="Arial"/>
          <w:b w:val="0"/>
          <w:bCs w:val="0"/>
          <w:color w:val="000000"/>
          <w:sz w:val="22"/>
          <w:szCs w:val="22"/>
          <w:lang w:val="es-ES"/>
        </w:rPr>
      </w:pPr>
      <w:r w:rsidRPr="001A2B98">
        <w:rPr>
          <w:rStyle w:val="Textoennegrita"/>
          <w:rFonts w:ascii="Arial" w:hAnsi="Arial" w:cs="Arial"/>
          <w:b w:val="0"/>
          <w:bCs w:val="0"/>
          <w:color w:val="000000"/>
          <w:sz w:val="22"/>
          <w:szCs w:val="22"/>
          <w:lang w:val="es-ES"/>
        </w:rPr>
        <w:t>A - Títulos públicos que emite</w:t>
      </w:r>
      <w:r w:rsidR="00914990" w:rsidRPr="001A2B98">
        <w:rPr>
          <w:rStyle w:val="Textoennegrita"/>
          <w:rFonts w:ascii="Arial" w:hAnsi="Arial" w:cs="Arial"/>
          <w:b w:val="0"/>
          <w:bCs w:val="0"/>
          <w:color w:val="000000"/>
          <w:sz w:val="22"/>
          <w:szCs w:val="22"/>
          <w:lang w:val="es-ES"/>
        </w:rPr>
        <w:t>n las provincias</w:t>
      </w:r>
      <w:r w:rsidRPr="001A2B98">
        <w:rPr>
          <w:rStyle w:val="Textoennegrita"/>
          <w:rFonts w:ascii="Arial" w:hAnsi="Arial" w:cs="Arial"/>
          <w:b w:val="0"/>
          <w:bCs w:val="0"/>
          <w:color w:val="000000"/>
          <w:sz w:val="22"/>
          <w:szCs w:val="22"/>
          <w:lang w:val="es-ES"/>
        </w:rPr>
        <w:t>.</w:t>
      </w:r>
    </w:p>
    <w:p w14:paraId="40EE38F4" w14:textId="1657517C" w:rsidR="005A2CE0" w:rsidRPr="001A2B98" w:rsidRDefault="005A2CE0" w:rsidP="00D70447">
      <w:pPr>
        <w:pStyle w:val="NormalWeb"/>
        <w:shd w:val="clear" w:color="auto" w:fill="FFFFFF"/>
        <w:spacing w:before="0" w:beforeAutospacing="0" w:after="150" w:afterAutospacing="0"/>
        <w:jc w:val="both"/>
        <w:rPr>
          <w:rStyle w:val="Textoennegrita"/>
          <w:rFonts w:ascii="Arial" w:hAnsi="Arial" w:cs="Arial"/>
          <w:b w:val="0"/>
          <w:bCs w:val="0"/>
          <w:color w:val="000000"/>
          <w:sz w:val="22"/>
          <w:szCs w:val="22"/>
          <w:lang w:val="es-ES"/>
        </w:rPr>
      </w:pPr>
      <w:r w:rsidRPr="001A2B98">
        <w:rPr>
          <w:rStyle w:val="Textoennegrita"/>
          <w:rFonts w:ascii="Arial" w:hAnsi="Arial" w:cs="Arial"/>
          <w:b w:val="0"/>
          <w:bCs w:val="0"/>
          <w:color w:val="000000"/>
          <w:sz w:val="22"/>
          <w:szCs w:val="22"/>
          <w:lang w:val="es-ES"/>
        </w:rPr>
        <w:t xml:space="preserve">B – </w:t>
      </w:r>
      <w:r w:rsidR="004E29D4" w:rsidRPr="001A2B98">
        <w:rPr>
          <w:rStyle w:val="Textoennegrita"/>
          <w:rFonts w:ascii="Arial" w:hAnsi="Arial" w:cs="Arial"/>
          <w:b w:val="0"/>
          <w:bCs w:val="0"/>
          <w:color w:val="000000"/>
          <w:sz w:val="22"/>
          <w:szCs w:val="22"/>
          <w:lang w:val="es-ES"/>
        </w:rPr>
        <w:t>Las cuotas sociales de las cooperativas</w:t>
      </w:r>
    </w:p>
    <w:p w14:paraId="3853E6A0" w14:textId="502BED6D" w:rsidR="005A2CE0" w:rsidRPr="001A2B98" w:rsidRDefault="005A2CE0" w:rsidP="00D70447">
      <w:pPr>
        <w:pStyle w:val="NormalWeb"/>
        <w:shd w:val="clear" w:color="auto" w:fill="FFFFFF"/>
        <w:spacing w:before="0" w:beforeAutospacing="0" w:after="150" w:afterAutospacing="0"/>
        <w:jc w:val="both"/>
        <w:rPr>
          <w:rStyle w:val="Textoennegrita"/>
          <w:rFonts w:ascii="Arial" w:hAnsi="Arial" w:cs="Arial"/>
          <w:b w:val="0"/>
          <w:bCs w:val="0"/>
          <w:color w:val="000000"/>
          <w:sz w:val="22"/>
          <w:szCs w:val="22"/>
          <w:lang w:val="es-ES"/>
        </w:rPr>
      </w:pPr>
      <w:r w:rsidRPr="001A2B98">
        <w:rPr>
          <w:rStyle w:val="Textoennegrita"/>
          <w:rFonts w:ascii="Arial" w:hAnsi="Arial" w:cs="Arial"/>
          <w:b w:val="0"/>
          <w:bCs w:val="0"/>
          <w:color w:val="000000"/>
          <w:sz w:val="22"/>
          <w:szCs w:val="22"/>
          <w:lang w:val="es-ES"/>
        </w:rPr>
        <w:t xml:space="preserve">C – </w:t>
      </w:r>
      <w:r w:rsidR="004E29D4" w:rsidRPr="001A2B98">
        <w:rPr>
          <w:rStyle w:val="Textoennegrita"/>
          <w:rFonts w:ascii="Arial" w:hAnsi="Arial" w:cs="Arial"/>
          <w:b w:val="0"/>
          <w:bCs w:val="0"/>
          <w:color w:val="000000"/>
          <w:sz w:val="22"/>
          <w:szCs w:val="22"/>
          <w:lang w:val="es-ES"/>
        </w:rPr>
        <w:t xml:space="preserve">Los depósitos en moneda argentina y extranjera efectuados en las instituciones comprendidas en el régimen de la Ley </w:t>
      </w:r>
      <w:r w:rsidR="00914990" w:rsidRPr="001A2B98">
        <w:rPr>
          <w:rStyle w:val="Textoennegrita"/>
          <w:rFonts w:ascii="Arial" w:hAnsi="Arial" w:cs="Arial"/>
          <w:b w:val="0"/>
          <w:bCs w:val="0"/>
          <w:color w:val="000000"/>
          <w:sz w:val="22"/>
          <w:szCs w:val="22"/>
          <w:lang w:val="es-ES"/>
        </w:rPr>
        <w:t>N.º</w:t>
      </w:r>
      <w:r w:rsidR="004E29D4" w:rsidRPr="001A2B98">
        <w:rPr>
          <w:rStyle w:val="Textoennegrita"/>
          <w:rFonts w:ascii="Arial" w:hAnsi="Arial" w:cs="Arial"/>
          <w:b w:val="0"/>
          <w:bCs w:val="0"/>
          <w:color w:val="000000"/>
          <w:sz w:val="22"/>
          <w:szCs w:val="22"/>
          <w:lang w:val="es-ES"/>
        </w:rPr>
        <w:t xml:space="preserve"> 21.526, a plazo fijo, en caja de ahorro</w:t>
      </w:r>
    </w:p>
    <w:p w14:paraId="25DB4360" w14:textId="0BF8CCE5" w:rsidR="005A2CE0" w:rsidRPr="001A2B98" w:rsidRDefault="005A2CE0" w:rsidP="00D70447">
      <w:pPr>
        <w:pStyle w:val="NormalWeb"/>
        <w:shd w:val="clear" w:color="auto" w:fill="FFFFFF"/>
        <w:spacing w:before="0" w:beforeAutospacing="0" w:after="150" w:afterAutospacing="0"/>
        <w:jc w:val="both"/>
        <w:rPr>
          <w:rStyle w:val="Textoennegrita"/>
          <w:rFonts w:ascii="Arial" w:hAnsi="Arial" w:cs="Arial"/>
          <w:b w:val="0"/>
          <w:bCs w:val="0"/>
          <w:color w:val="000000"/>
          <w:sz w:val="22"/>
          <w:szCs w:val="22"/>
          <w:lang w:val="es-ES"/>
        </w:rPr>
      </w:pPr>
      <w:r w:rsidRPr="001A2B98">
        <w:rPr>
          <w:rStyle w:val="Textoennegrita"/>
          <w:rFonts w:ascii="Arial" w:hAnsi="Arial" w:cs="Arial"/>
          <w:b w:val="0"/>
          <w:bCs w:val="0"/>
          <w:color w:val="000000"/>
          <w:sz w:val="22"/>
          <w:szCs w:val="22"/>
          <w:lang w:val="es-ES"/>
        </w:rPr>
        <w:t xml:space="preserve">D – </w:t>
      </w:r>
      <w:r w:rsidR="004E29D4" w:rsidRPr="001A2B98">
        <w:rPr>
          <w:rStyle w:val="Textoennegrita"/>
          <w:rFonts w:ascii="Arial" w:hAnsi="Arial" w:cs="Arial"/>
          <w:b w:val="0"/>
          <w:bCs w:val="0"/>
          <w:color w:val="000000"/>
          <w:sz w:val="22"/>
          <w:szCs w:val="22"/>
          <w:lang w:val="es-ES"/>
        </w:rPr>
        <w:t xml:space="preserve">Plazos fijos bancarios, tanto en pesos como en </w:t>
      </w:r>
      <w:r w:rsidR="00914990" w:rsidRPr="001A2B98">
        <w:rPr>
          <w:rStyle w:val="Textoennegrita"/>
          <w:rFonts w:ascii="Arial" w:hAnsi="Arial" w:cs="Arial"/>
          <w:b w:val="0"/>
          <w:bCs w:val="0"/>
          <w:color w:val="000000"/>
          <w:sz w:val="22"/>
          <w:szCs w:val="22"/>
          <w:lang w:val="es-ES"/>
        </w:rPr>
        <w:t>dólares</w:t>
      </w:r>
    </w:p>
    <w:p w14:paraId="447842A6" w14:textId="404044C4" w:rsidR="005A2CE0" w:rsidRPr="001A2B98" w:rsidRDefault="005A2CE0" w:rsidP="00D70447">
      <w:pPr>
        <w:pStyle w:val="NormalWeb"/>
        <w:shd w:val="clear" w:color="auto" w:fill="FFFFFF"/>
        <w:spacing w:before="0" w:beforeAutospacing="0" w:after="150" w:afterAutospacing="0"/>
        <w:jc w:val="both"/>
        <w:rPr>
          <w:rStyle w:val="Textoennegrita"/>
          <w:rFonts w:ascii="Arial" w:hAnsi="Arial" w:cs="Arial"/>
          <w:b w:val="0"/>
          <w:bCs w:val="0"/>
          <w:color w:val="000000"/>
          <w:sz w:val="22"/>
          <w:szCs w:val="22"/>
          <w:lang w:val="es-ES"/>
        </w:rPr>
      </w:pPr>
      <w:r w:rsidRPr="001A2B98">
        <w:rPr>
          <w:rStyle w:val="Textoennegrita"/>
          <w:rFonts w:ascii="Arial" w:hAnsi="Arial" w:cs="Arial"/>
          <w:b w:val="0"/>
          <w:bCs w:val="0"/>
          <w:color w:val="000000"/>
          <w:sz w:val="22"/>
          <w:szCs w:val="22"/>
          <w:lang w:val="es-ES"/>
        </w:rPr>
        <w:t>E –</w:t>
      </w:r>
      <w:r w:rsidR="00914990" w:rsidRPr="001A2B98">
        <w:rPr>
          <w:rStyle w:val="Textoennegrita"/>
          <w:rFonts w:ascii="Arial" w:hAnsi="Arial" w:cs="Arial"/>
          <w:b w:val="0"/>
          <w:bCs w:val="0"/>
          <w:color w:val="000000"/>
          <w:sz w:val="22"/>
          <w:szCs w:val="22"/>
          <w:lang w:val="es-ES"/>
        </w:rPr>
        <w:t xml:space="preserve"> B</w:t>
      </w:r>
      <w:r w:rsidR="00914990" w:rsidRPr="001A2B98">
        <w:rPr>
          <w:rStyle w:val="Textoennegrita"/>
          <w:rFonts w:ascii="Arial" w:hAnsi="Arial" w:cs="Arial"/>
          <w:b w:val="0"/>
          <w:bCs w:val="0"/>
          <w:sz w:val="22"/>
          <w:szCs w:val="22"/>
          <w:lang w:val="es-ES"/>
        </w:rPr>
        <w:t>onos soberanos argentinos</w:t>
      </w:r>
    </w:p>
    <w:p w14:paraId="6B7CE2B2"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color w:val="000000"/>
          <w:sz w:val="22"/>
          <w:szCs w:val="22"/>
        </w:rPr>
        <w:t> </w:t>
      </w:r>
    </w:p>
    <w:p w14:paraId="3111AD04" w14:textId="6A2B3926" w:rsidR="00346D2E" w:rsidRPr="001A2B98" w:rsidRDefault="00346D2E" w:rsidP="00D70447">
      <w:pPr>
        <w:pStyle w:val="NormalWeb"/>
        <w:shd w:val="clear" w:color="auto" w:fill="FFFFFF"/>
        <w:spacing w:before="0" w:beforeAutospacing="0" w:after="150" w:afterAutospacing="0"/>
        <w:jc w:val="both"/>
        <w:rPr>
          <w:rStyle w:val="Textoennegrita"/>
          <w:rFonts w:ascii="Arial" w:hAnsi="Arial" w:cs="Arial"/>
          <w:b w:val="0"/>
          <w:bCs w:val="0"/>
          <w:color w:val="000000"/>
          <w:sz w:val="22"/>
          <w:szCs w:val="22"/>
          <w:lang w:val="es-ES"/>
        </w:rPr>
      </w:pPr>
      <w:r w:rsidRPr="001A2B98">
        <w:rPr>
          <w:rFonts w:ascii="Arial" w:hAnsi="Arial" w:cs="Arial"/>
          <w:b/>
          <w:bCs/>
          <w:color w:val="000000"/>
          <w:sz w:val="22"/>
          <w:szCs w:val="22"/>
          <w:highlight w:val="green"/>
          <w:lang w:val="es-ES"/>
        </w:rPr>
        <w:t>6)</w:t>
      </w:r>
      <w:r w:rsidRPr="001A2B98">
        <w:rPr>
          <w:rFonts w:ascii="Arial" w:hAnsi="Arial" w:cs="Arial"/>
          <w:b/>
          <w:bCs/>
          <w:color w:val="000000"/>
          <w:sz w:val="22"/>
          <w:szCs w:val="22"/>
          <w:lang w:val="es-ES"/>
        </w:rPr>
        <w:t xml:space="preserve"> Para el periodo 2017 y 2018, ¿cuál será el mínimo no imponible en el Impuesto a los Bienes Personales? </w:t>
      </w:r>
      <w:r w:rsidRPr="001A2B98">
        <w:rPr>
          <w:rStyle w:val="Textoennegrita"/>
          <w:rFonts w:ascii="Arial" w:hAnsi="Arial" w:cs="Arial"/>
          <w:b w:val="0"/>
          <w:bCs w:val="0"/>
          <w:color w:val="000000"/>
          <w:sz w:val="22"/>
          <w:szCs w:val="22"/>
          <w:lang w:val="es-ES"/>
        </w:rPr>
        <w:t>(10 puntos)</w:t>
      </w:r>
    </w:p>
    <w:p w14:paraId="173C57CD" w14:textId="5315B69F" w:rsidR="00543C42" w:rsidRPr="001A2B98" w:rsidRDefault="00543C42"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sz w:val="22"/>
          <w:szCs w:val="22"/>
        </w:rPr>
        <w:t xml:space="preserve">Para el período fiscal 2017, iguales o inferiores a $950.000 y a </w:t>
      </w:r>
      <w:proofErr w:type="spellStart"/>
      <w:r w:rsidRPr="001A2B98">
        <w:rPr>
          <w:rFonts w:ascii="Arial" w:hAnsi="Arial" w:cs="Arial"/>
          <w:sz w:val="22"/>
          <w:szCs w:val="22"/>
        </w:rPr>
        <w:t>a</w:t>
      </w:r>
      <w:proofErr w:type="spellEnd"/>
      <w:r w:rsidRPr="001A2B98">
        <w:rPr>
          <w:rFonts w:ascii="Arial" w:hAnsi="Arial" w:cs="Arial"/>
          <w:sz w:val="22"/>
          <w:szCs w:val="22"/>
        </w:rPr>
        <w:t xml:space="preserve"> partir del período fiscal 2018 y siguientes, iguales o inferiores a $1.050.000</w:t>
      </w:r>
    </w:p>
    <w:p w14:paraId="0E275117"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color w:val="000000"/>
          <w:sz w:val="22"/>
          <w:szCs w:val="22"/>
          <w:lang w:val="es-ES"/>
        </w:rPr>
        <w:t> </w:t>
      </w:r>
    </w:p>
    <w:p w14:paraId="155EA2A5" w14:textId="66DCA838" w:rsidR="00346D2E" w:rsidRPr="001A2B98" w:rsidRDefault="00346D2E" w:rsidP="00D70447">
      <w:pPr>
        <w:pStyle w:val="NormalWeb"/>
        <w:shd w:val="clear" w:color="auto" w:fill="FFFFFF"/>
        <w:spacing w:before="0" w:beforeAutospacing="0" w:after="150" w:afterAutospacing="0"/>
        <w:jc w:val="both"/>
        <w:rPr>
          <w:rStyle w:val="Textoennegrita"/>
          <w:rFonts w:ascii="Arial" w:hAnsi="Arial" w:cs="Arial"/>
          <w:b w:val="0"/>
          <w:bCs w:val="0"/>
          <w:color w:val="000000"/>
          <w:sz w:val="22"/>
          <w:szCs w:val="22"/>
          <w:lang w:val="es-ES"/>
        </w:rPr>
      </w:pPr>
      <w:r w:rsidRPr="001A2B98">
        <w:rPr>
          <w:rFonts w:ascii="Arial" w:hAnsi="Arial" w:cs="Arial"/>
          <w:b/>
          <w:bCs/>
          <w:color w:val="000000"/>
          <w:sz w:val="22"/>
          <w:szCs w:val="22"/>
          <w:highlight w:val="green"/>
          <w:lang w:val="es-ES"/>
        </w:rPr>
        <w:t>7)</w:t>
      </w:r>
      <w:r w:rsidRPr="001A2B98">
        <w:rPr>
          <w:rFonts w:ascii="Arial" w:hAnsi="Arial" w:cs="Arial"/>
          <w:b/>
          <w:bCs/>
          <w:color w:val="000000"/>
          <w:sz w:val="22"/>
          <w:szCs w:val="22"/>
          <w:lang w:val="es-ES"/>
        </w:rPr>
        <w:t xml:space="preserve"> Pedro Blanco, tiene U$ 100.000 en la caja de seguridad de una entidad bancaria constituida en el país, dicho dinero ¿está gravado por el Impuesto a los Bienes Personales? ¿Por qué? </w:t>
      </w:r>
      <w:r w:rsidRPr="001A2B98">
        <w:rPr>
          <w:rStyle w:val="Textoennegrita"/>
          <w:rFonts w:ascii="Arial" w:hAnsi="Arial" w:cs="Arial"/>
          <w:color w:val="000000"/>
          <w:sz w:val="22"/>
          <w:szCs w:val="22"/>
          <w:lang w:val="es-ES"/>
        </w:rPr>
        <w:t>(10 puntos)</w:t>
      </w:r>
    </w:p>
    <w:p w14:paraId="3A2E613C" w14:textId="5C259904" w:rsidR="00C44F7B" w:rsidRPr="001A2B98" w:rsidRDefault="00C44F7B" w:rsidP="00D70447">
      <w:pPr>
        <w:pStyle w:val="NormalWeb"/>
        <w:shd w:val="clear" w:color="auto" w:fill="FFFFFF"/>
        <w:spacing w:before="0" w:beforeAutospacing="0" w:after="150" w:afterAutospacing="0"/>
        <w:jc w:val="both"/>
        <w:rPr>
          <w:rFonts w:ascii="Arial" w:hAnsi="Arial" w:cs="Arial"/>
          <w:b/>
          <w:bCs/>
          <w:color w:val="000000"/>
          <w:sz w:val="22"/>
          <w:szCs w:val="22"/>
        </w:rPr>
      </w:pPr>
      <w:r w:rsidRPr="001A2B98">
        <w:rPr>
          <w:rStyle w:val="Textoennegrita"/>
          <w:rFonts w:ascii="Arial" w:hAnsi="Arial" w:cs="Arial"/>
          <w:b w:val="0"/>
          <w:bCs w:val="0"/>
          <w:color w:val="000000"/>
          <w:sz w:val="22"/>
          <w:szCs w:val="22"/>
          <w:lang w:val="es-ES"/>
        </w:rPr>
        <w:t>El dinero de la caja de seguridad esta fuera del sistema bancario, que este en un banco no significa que el dinero este “bancarizado”. Esto no se refleja en las cuentas bancarias, esta como se dice “fuera del sistema”.</w:t>
      </w:r>
      <w:r w:rsidR="00461998" w:rsidRPr="001A2B98">
        <w:rPr>
          <w:rStyle w:val="Textoennegrita"/>
          <w:rFonts w:ascii="Arial" w:hAnsi="Arial" w:cs="Arial"/>
          <w:b w:val="0"/>
          <w:bCs w:val="0"/>
          <w:color w:val="000000"/>
          <w:sz w:val="22"/>
          <w:szCs w:val="22"/>
          <w:lang w:val="es-ES"/>
        </w:rPr>
        <w:t xml:space="preserve"> Por lo que al momento de generar el impuesto no se tendrá en cuenta.</w:t>
      </w:r>
    </w:p>
    <w:p w14:paraId="6A924BC3"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color w:val="000000"/>
          <w:sz w:val="22"/>
          <w:szCs w:val="22"/>
          <w:lang w:val="es-ES"/>
        </w:rPr>
        <w:t> </w:t>
      </w:r>
    </w:p>
    <w:p w14:paraId="09715E0C"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Style w:val="Textoennegrita"/>
          <w:rFonts w:ascii="Arial" w:hAnsi="Arial" w:cs="Arial"/>
          <w:color w:val="000000"/>
          <w:sz w:val="22"/>
          <w:szCs w:val="22"/>
          <w:lang w:val="es-ES"/>
        </w:rPr>
        <w:t>C)    Ganancias Mínima Presunta</w:t>
      </w:r>
    </w:p>
    <w:p w14:paraId="5D319C8B"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color w:val="000000"/>
          <w:sz w:val="22"/>
          <w:szCs w:val="22"/>
        </w:rPr>
        <w:t> </w:t>
      </w:r>
    </w:p>
    <w:p w14:paraId="534F6473" w14:textId="1CF34A1A" w:rsidR="00346D2E" w:rsidRPr="001A2B98" w:rsidRDefault="00346D2E" w:rsidP="00D70447">
      <w:pPr>
        <w:pStyle w:val="NormalWeb"/>
        <w:shd w:val="clear" w:color="auto" w:fill="FFFFFF"/>
        <w:spacing w:before="0" w:beforeAutospacing="0" w:after="150" w:afterAutospacing="0"/>
        <w:jc w:val="both"/>
        <w:rPr>
          <w:rStyle w:val="Textoennegrita"/>
          <w:rFonts w:ascii="Arial" w:hAnsi="Arial" w:cs="Arial"/>
          <w:color w:val="000000"/>
          <w:sz w:val="22"/>
          <w:szCs w:val="22"/>
          <w:lang w:val="es-ES"/>
        </w:rPr>
      </w:pPr>
      <w:r w:rsidRPr="001A2B98">
        <w:rPr>
          <w:rFonts w:ascii="Arial" w:hAnsi="Arial" w:cs="Arial"/>
          <w:b/>
          <w:bCs/>
          <w:color w:val="000000"/>
          <w:sz w:val="22"/>
          <w:szCs w:val="22"/>
          <w:highlight w:val="green"/>
          <w:lang w:val="es-ES"/>
        </w:rPr>
        <w:t>8)</w:t>
      </w:r>
      <w:r w:rsidRPr="001A2B98">
        <w:rPr>
          <w:rFonts w:ascii="Arial" w:hAnsi="Arial" w:cs="Arial"/>
          <w:b/>
          <w:bCs/>
          <w:color w:val="000000"/>
          <w:sz w:val="22"/>
          <w:szCs w:val="22"/>
          <w:lang w:val="es-ES"/>
        </w:rPr>
        <w:t xml:space="preserve"> ¿Qué grava el Impuesto a la Ganancia Mínima Presunta? </w:t>
      </w:r>
      <w:r w:rsidRPr="001A2B98">
        <w:rPr>
          <w:rStyle w:val="Textoennegrita"/>
          <w:rFonts w:ascii="Arial" w:hAnsi="Arial" w:cs="Arial"/>
          <w:b w:val="0"/>
          <w:bCs w:val="0"/>
          <w:color w:val="000000"/>
          <w:sz w:val="22"/>
          <w:szCs w:val="22"/>
          <w:lang w:val="es-ES"/>
        </w:rPr>
        <w:t>(10 puntos</w:t>
      </w:r>
      <w:r w:rsidRPr="001A2B98">
        <w:rPr>
          <w:rStyle w:val="Textoennegrita"/>
          <w:rFonts w:ascii="Arial" w:hAnsi="Arial" w:cs="Arial"/>
          <w:color w:val="000000"/>
          <w:sz w:val="22"/>
          <w:szCs w:val="22"/>
          <w:lang w:val="es-ES"/>
        </w:rPr>
        <w:t>)</w:t>
      </w:r>
    </w:p>
    <w:p w14:paraId="3C6E98D1" w14:textId="07A68B67" w:rsidR="00DD17AE" w:rsidRPr="001A2B98" w:rsidRDefault="00DD17AE" w:rsidP="00D70447">
      <w:pPr>
        <w:pStyle w:val="NormalWeb"/>
        <w:shd w:val="clear" w:color="auto" w:fill="FFFFFF"/>
        <w:spacing w:before="0" w:beforeAutospacing="0" w:after="150" w:afterAutospacing="0"/>
        <w:jc w:val="both"/>
        <w:rPr>
          <w:rFonts w:ascii="Arial" w:hAnsi="Arial" w:cs="Arial"/>
          <w:b/>
          <w:bCs/>
          <w:sz w:val="22"/>
          <w:szCs w:val="22"/>
        </w:rPr>
      </w:pPr>
      <w:r w:rsidRPr="001A2B98">
        <w:rPr>
          <w:rFonts w:ascii="Arial" w:hAnsi="Arial" w:cs="Arial"/>
          <w:sz w:val="22"/>
          <w:szCs w:val="22"/>
        </w:rPr>
        <w:t>El impuesto a la Ganancia Mínima Presunta fue un tributo aplicado en </w:t>
      </w:r>
      <w:hyperlink r:id="rId5" w:tooltip="Argentina" w:history="1">
        <w:r w:rsidRPr="001A2B98">
          <w:rPr>
            <w:rFonts w:ascii="Arial" w:hAnsi="Arial" w:cs="Arial"/>
            <w:sz w:val="22"/>
            <w:szCs w:val="22"/>
          </w:rPr>
          <w:t>Argentina</w:t>
        </w:r>
      </w:hyperlink>
      <w:r w:rsidRPr="001A2B98">
        <w:rPr>
          <w:rFonts w:ascii="Arial" w:hAnsi="Arial" w:cs="Arial"/>
          <w:sz w:val="22"/>
          <w:szCs w:val="22"/>
        </w:rPr>
        <w:t> a todos los sujetos pasivos del </w:t>
      </w:r>
      <w:hyperlink r:id="rId6" w:tooltip="Impuesto a las Ganancias (Argentina)" w:history="1">
        <w:r w:rsidRPr="001A2B98">
          <w:rPr>
            <w:rFonts w:ascii="Arial" w:hAnsi="Arial" w:cs="Arial"/>
            <w:sz w:val="22"/>
            <w:szCs w:val="22"/>
          </w:rPr>
          <w:t>impuesto a las Ganancias</w:t>
        </w:r>
      </w:hyperlink>
      <w:r w:rsidRPr="001A2B98">
        <w:rPr>
          <w:rFonts w:ascii="Arial" w:hAnsi="Arial" w:cs="Arial"/>
          <w:sz w:val="22"/>
          <w:szCs w:val="22"/>
        </w:rPr>
        <w:t>. Corresponde al 1% del valor de los activos de su propiedad en el país y el extranjero Se determina sobre la base de los activos (bienes y derechos), valuados de acuerdo con las disposiciones de la ley.</w:t>
      </w:r>
    </w:p>
    <w:p w14:paraId="27CD7575" w14:textId="1B3E9FB9"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p>
    <w:p w14:paraId="101FCFA4" w14:textId="4C82439D" w:rsidR="00346D2E" w:rsidRPr="001A2B98" w:rsidRDefault="00346D2E" w:rsidP="00D70447">
      <w:pPr>
        <w:pStyle w:val="NormalWeb"/>
        <w:shd w:val="clear" w:color="auto" w:fill="FFFFFF"/>
        <w:spacing w:before="0" w:beforeAutospacing="0" w:after="150" w:afterAutospacing="0"/>
        <w:jc w:val="both"/>
        <w:rPr>
          <w:rStyle w:val="Textoennegrita"/>
          <w:rFonts w:ascii="Arial" w:hAnsi="Arial" w:cs="Arial"/>
          <w:b w:val="0"/>
          <w:bCs w:val="0"/>
          <w:color w:val="000000"/>
          <w:sz w:val="22"/>
          <w:szCs w:val="22"/>
          <w:lang w:val="es-ES"/>
        </w:rPr>
      </w:pPr>
      <w:r w:rsidRPr="001A2B98">
        <w:rPr>
          <w:rFonts w:ascii="Arial" w:hAnsi="Arial" w:cs="Arial"/>
          <w:b/>
          <w:bCs/>
          <w:color w:val="000000"/>
          <w:sz w:val="22"/>
          <w:szCs w:val="22"/>
          <w:highlight w:val="green"/>
          <w:lang w:val="es-ES"/>
        </w:rPr>
        <w:t>9)</w:t>
      </w:r>
      <w:r w:rsidRPr="001A2B98">
        <w:rPr>
          <w:rFonts w:ascii="Arial" w:hAnsi="Arial" w:cs="Arial"/>
          <w:b/>
          <w:bCs/>
          <w:color w:val="000000"/>
          <w:sz w:val="22"/>
          <w:szCs w:val="22"/>
          <w:lang w:val="es-ES"/>
        </w:rPr>
        <w:t xml:space="preserve"> ¿Hasta qué año será exigible el Impuesto a la Ganancia Mínima Presunta? </w:t>
      </w:r>
      <w:r w:rsidRPr="001A2B98">
        <w:rPr>
          <w:rStyle w:val="Textoennegrita"/>
          <w:rFonts w:ascii="Arial" w:hAnsi="Arial" w:cs="Arial"/>
          <w:b w:val="0"/>
          <w:bCs w:val="0"/>
          <w:color w:val="000000"/>
          <w:sz w:val="22"/>
          <w:szCs w:val="22"/>
          <w:lang w:val="es-ES"/>
        </w:rPr>
        <w:t>(10 puntos)</w:t>
      </w:r>
    </w:p>
    <w:p w14:paraId="3C68BBD9" w14:textId="12E119EF" w:rsidR="00DD17AE" w:rsidRPr="001A2B98" w:rsidRDefault="00DD17AE" w:rsidP="00D70447">
      <w:pPr>
        <w:pStyle w:val="NormalWeb"/>
        <w:shd w:val="clear" w:color="auto" w:fill="FFFFFF"/>
        <w:spacing w:before="0" w:beforeAutospacing="0" w:after="150" w:afterAutospacing="0"/>
        <w:jc w:val="both"/>
        <w:rPr>
          <w:rFonts w:ascii="Arial" w:hAnsi="Arial" w:cs="Arial"/>
          <w:color w:val="202122"/>
          <w:sz w:val="22"/>
          <w:szCs w:val="22"/>
          <w:shd w:val="clear" w:color="auto" w:fill="FFFFFF"/>
        </w:rPr>
      </w:pPr>
      <w:r w:rsidRPr="001A2B98">
        <w:rPr>
          <w:rFonts w:ascii="Arial" w:hAnsi="Arial" w:cs="Arial"/>
          <w:color w:val="202122"/>
          <w:sz w:val="22"/>
          <w:szCs w:val="22"/>
          <w:shd w:val="clear" w:color="auto" w:fill="FFFFFF"/>
        </w:rPr>
        <w:t>El impuesto fue derogado en 2016 y​ la derogación entró en vigencia el 1 enero de enero de 2017 para las </w:t>
      </w:r>
      <w:r w:rsidRPr="001A2B98">
        <w:rPr>
          <w:rFonts w:ascii="Arial" w:hAnsi="Arial" w:cs="Arial"/>
          <w:color w:val="202122"/>
          <w:sz w:val="22"/>
          <w:szCs w:val="22"/>
        </w:rPr>
        <w:t>PyMEs</w:t>
      </w:r>
      <w:r w:rsidRPr="001A2B98">
        <w:rPr>
          <w:rFonts w:ascii="Arial" w:hAnsi="Arial" w:cs="Arial"/>
          <w:color w:val="202122"/>
          <w:sz w:val="22"/>
          <w:szCs w:val="22"/>
          <w:shd w:val="clear" w:color="auto" w:fill="FFFFFF"/>
        </w:rPr>
        <w:t xml:space="preserve"> y el mismo día de 2019 para el resto de las empresas. </w:t>
      </w:r>
    </w:p>
    <w:p w14:paraId="2F6D7AA8"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color w:val="000000"/>
          <w:sz w:val="22"/>
          <w:szCs w:val="22"/>
        </w:rPr>
      </w:pPr>
      <w:r w:rsidRPr="001A2B98">
        <w:rPr>
          <w:rFonts w:ascii="Arial" w:hAnsi="Arial" w:cs="Arial"/>
          <w:color w:val="000000"/>
          <w:sz w:val="22"/>
          <w:szCs w:val="22"/>
        </w:rPr>
        <w:t> </w:t>
      </w:r>
    </w:p>
    <w:p w14:paraId="16073BBA" w14:textId="77777777" w:rsidR="00346D2E" w:rsidRPr="001A2B98" w:rsidRDefault="00346D2E" w:rsidP="00D70447">
      <w:pPr>
        <w:pStyle w:val="NormalWeb"/>
        <w:shd w:val="clear" w:color="auto" w:fill="FFFFFF"/>
        <w:spacing w:before="0" w:beforeAutospacing="0" w:after="150" w:afterAutospacing="0"/>
        <w:jc w:val="both"/>
        <w:rPr>
          <w:rFonts w:ascii="Arial" w:hAnsi="Arial" w:cs="Arial"/>
          <w:b/>
          <w:bCs/>
          <w:color w:val="000000"/>
          <w:sz w:val="22"/>
          <w:szCs w:val="22"/>
        </w:rPr>
      </w:pPr>
      <w:r w:rsidRPr="001A2B98">
        <w:rPr>
          <w:rFonts w:ascii="Arial" w:hAnsi="Arial" w:cs="Arial"/>
          <w:b/>
          <w:bCs/>
          <w:color w:val="000000"/>
          <w:sz w:val="22"/>
          <w:szCs w:val="22"/>
          <w:highlight w:val="green"/>
          <w:lang w:val="es-ES"/>
        </w:rPr>
        <w:lastRenderedPageBreak/>
        <w:t>10)</w:t>
      </w:r>
      <w:r w:rsidRPr="001A2B98">
        <w:rPr>
          <w:rFonts w:ascii="Arial" w:hAnsi="Arial" w:cs="Arial"/>
          <w:b/>
          <w:bCs/>
          <w:color w:val="000000"/>
          <w:sz w:val="22"/>
          <w:szCs w:val="22"/>
          <w:lang w:val="es-ES"/>
        </w:rPr>
        <w:t xml:space="preserve"> ¿Qué tipo de sujetos deben liquidar el Impuesto a la Ganancia Mínima Presunta? </w:t>
      </w:r>
      <w:r w:rsidRPr="001A2B98">
        <w:rPr>
          <w:rStyle w:val="Textoennegrita"/>
          <w:rFonts w:ascii="Arial" w:hAnsi="Arial" w:cs="Arial"/>
          <w:b w:val="0"/>
          <w:bCs w:val="0"/>
          <w:color w:val="000000"/>
          <w:sz w:val="22"/>
          <w:szCs w:val="22"/>
          <w:lang w:val="es-ES"/>
        </w:rPr>
        <w:t>(10 puntos)</w:t>
      </w:r>
    </w:p>
    <w:p w14:paraId="2345532F" w14:textId="3DA180B0" w:rsidR="005052DF" w:rsidRPr="001A2B98" w:rsidRDefault="00F36F44" w:rsidP="00F36F44">
      <w:pPr>
        <w:rPr>
          <w:rFonts w:ascii="Arial" w:hAnsi="Arial" w:cs="Arial"/>
          <w:b/>
          <w:bCs/>
          <w:color w:val="202122"/>
          <w:shd w:val="clear" w:color="auto" w:fill="FFFFFF"/>
        </w:rPr>
      </w:pPr>
      <w:r w:rsidRPr="001A2B98">
        <w:rPr>
          <w:rFonts w:ascii="Arial" w:hAnsi="Arial" w:cs="Arial"/>
          <w:b/>
          <w:bCs/>
        </w:rPr>
        <w:t>Los sujetos que debían liquidar eran:</w:t>
      </w:r>
    </w:p>
    <w:p w14:paraId="633DCCA1" w14:textId="4132B8E9" w:rsidR="00F36F44" w:rsidRPr="001A2B98" w:rsidRDefault="00F36F44" w:rsidP="00F36F44">
      <w:pPr>
        <w:pStyle w:val="Prrafodelista"/>
        <w:numPr>
          <w:ilvl w:val="0"/>
          <w:numId w:val="1"/>
        </w:numPr>
        <w:rPr>
          <w:rFonts w:ascii="Arial" w:hAnsi="Arial" w:cs="Arial"/>
        </w:rPr>
      </w:pPr>
      <w:r w:rsidRPr="001A2B98">
        <w:rPr>
          <w:rFonts w:ascii="Arial" w:hAnsi="Arial" w:cs="Arial"/>
        </w:rPr>
        <w:t>Sociedades domiciliadas en el país.</w:t>
      </w:r>
    </w:p>
    <w:p w14:paraId="132B717F" w14:textId="77D2C829" w:rsidR="00F36F44" w:rsidRPr="001A2B98" w:rsidRDefault="00F36F44" w:rsidP="00F36F44">
      <w:pPr>
        <w:pStyle w:val="Prrafodelista"/>
        <w:numPr>
          <w:ilvl w:val="0"/>
          <w:numId w:val="1"/>
        </w:numPr>
        <w:rPr>
          <w:rFonts w:ascii="Arial" w:hAnsi="Arial" w:cs="Arial"/>
        </w:rPr>
      </w:pPr>
      <w:r w:rsidRPr="001A2B98">
        <w:rPr>
          <w:rFonts w:ascii="Arial" w:hAnsi="Arial" w:cs="Arial"/>
        </w:rPr>
        <w:t>Asociaciones civiles y fundaciones domiciliadas en el país.</w:t>
      </w:r>
    </w:p>
    <w:p w14:paraId="6C55C022" w14:textId="71CEA6C0" w:rsidR="00F36F44" w:rsidRPr="001A2B98" w:rsidRDefault="00F36F44" w:rsidP="00F36F44">
      <w:pPr>
        <w:pStyle w:val="Prrafodelista"/>
        <w:numPr>
          <w:ilvl w:val="0"/>
          <w:numId w:val="1"/>
        </w:numPr>
        <w:rPr>
          <w:rFonts w:ascii="Arial" w:hAnsi="Arial" w:cs="Arial"/>
        </w:rPr>
      </w:pPr>
      <w:r w:rsidRPr="001A2B98">
        <w:rPr>
          <w:rFonts w:ascii="Arial" w:hAnsi="Arial" w:cs="Arial"/>
        </w:rPr>
        <w:t>Las empresas o explotaciones unipersonales</w:t>
      </w:r>
    </w:p>
    <w:p w14:paraId="1FE002B9" w14:textId="699356C0" w:rsidR="00F36F44" w:rsidRPr="001A2B98" w:rsidRDefault="00F36F44" w:rsidP="00F36F44">
      <w:pPr>
        <w:pStyle w:val="Prrafodelista"/>
        <w:numPr>
          <w:ilvl w:val="0"/>
          <w:numId w:val="1"/>
        </w:numPr>
        <w:rPr>
          <w:rFonts w:ascii="Arial" w:hAnsi="Arial" w:cs="Arial"/>
        </w:rPr>
      </w:pPr>
      <w:r w:rsidRPr="001A2B98">
        <w:rPr>
          <w:rFonts w:ascii="Arial" w:hAnsi="Arial" w:cs="Arial"/>
        </w:rPr>
        <w:t>Las entidades y organismos a que se refiere el artículo 1º de la Ley 22.016.</w:t>
      </w:r>
    </w:p>
    <w:p w14:paraId="5473E65B" w14:textId="3FD52134" w:rsidR="00F36F44" w:rsidRPr="001A2B98" w:rsidRDefault="00F36F44" w:rsidP="00F36F44">
      <w:pPr>
        <w:pStyle w:val="Prrafodelista"/>
        <w:numPr>
          <w:ilvl w:val="0"/>
          <w:numId w:val="1"/>
        </w:numPr>
        <w:rPr>
          <w:rFonts w:ascii="Arial" w:hAnsi="Arial" w:cs="Arial"/>
        </w:rPr>
      </w:pPr>
      <w:r w:rsidRPr="001A2B98">
        <w:rPr>
          <w:rFonts w:ascii="Arial" w:hAnsi="Arial" w:cs="Arial"/>
        </w:rPr>
        <w:t>Las personas físicas y sucesiones indivisas, titulares de inmuebles rurales, en relación a dichos inmuebles.</w:t>
      </w:r>
    </w:p>
    <w:p w14:paraId="7EBE8A55" w14:textId="6E67ABFE" w:rsidR="00F36F44" w:rsidRPr="001A2B98" w:rsidRDefault="00F36F44" w:rsidP="00F36F44">
      <w:pPr>
        <w:pStyle w:val="Prrafodelista"/>
        <w:numPr>
          <w:ilvl w:val="0"/>
          <w:numId w:val="1"/>
        </w:numPr>
        <w:rPr>
          <w:rFonts w:ascii="Arial" w:hAnsi="Arial" w:cs="Arial"/>
        </w:rPr>
      </w:pPr>
      <w:r w:rsidRPr="001A2B98">
        <w:rPr>
          <w:rFonts w:ascii="Arial" w:hAnsi="Arial" w:cs="Arial"/>
        </w:rPr>
        <w:t>Los fideicomisos constituidos en el país.</w:t>
      </w:r>
    </w:p>
    <w:p w14:paraId="1A3E22E4" w14:textId="4A88A92D" w:rsidR="00F36F44" w:rsidRPr="001A2B98" w:rsidRDefault="00F36F44" w:rsidP="00F36F44">
      <w:pPr>
        <w:pStyle w:val="Prrafodelista"/>
        <w:numPr>
          <w:ilvl w:val="0"/>
          <w:numId w:val="1"/>
        </w:numPr>
        <w:rPr>
          <w:rFonts w:ascii="Arial" w:hAnsi="Arial" w:cs="Arial"/>
        </w:rPr>
      </w:pPr>
      <w:r w:rsidRPr="001A2B98">
        <w:rPr>
          <w:rFonts w:ascii="Arial" w:hAnsi="Arial" w:cs="Arial"/>
        </w:rPr>
        <w:t>Los fondos comunes de inversión constituidos en el país que no se encuentren comprendidos en el primer párrafo del artículo 1º de la Ley 24.083.</w:t>
      </w:r>
    </w:p>
    <w:p w14:paraId="77CEF564" w14:textId="150994E4" w:rsidR="00F36F44" w:rsidRPr="001A2B98" w:rsidRDefault="00F36F44" w:rsidP="00F36F44">
      <w:pPr>
        <w:pStyle w:val="Prrafodelista"/>
        <w:numPr>
          <w:ilvl w:val="0"/>
          <w:numId w:val="1"/>
        </w:numPr>
        <w:rPr>
          <w:rFonts w:ascii="Arial" w:hAnsi="Arial" w:cs="Arial"/>
        </w:rPr>
      </w:pPr>
      <w:r w:rsidRPr="001A2B98">
        <w:rPr>
          <w:rFonts w:ascii="Arial" w:hAnsi="Arial" w:cs="Arial"/>
        </w:rPr>
        <w:t>Los establecimientos estables domiciliados o, en su caso, ubicados en el país, para él o en virtud del desarrollo de actividades comerciales, industriales, agrícolas, ganaderas, forestales, mineras o cualesquiera otras, con fines de especulación o lucro.</w:t>
      </w:r>
    </w:p>
    <w:sectPr w:rsidR="00F36F44" w:rsidRPr="001A2B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55829"/>
    <w:multiLevelType w:val="hybridMultilevel"/>
    <w:tmpl w:val="F03A70B4"/>
    <w:lvl w:ilvl="0" w:tplc="1090E10A">
      <w:start w:val="1"/>
      <w:numFmt w:val="bullet"/>
      <w:lvlText w:val="-"/>
      <w:lvlJc w:val="left"/>
      <w:pPr>
        <w:ind w:left="720" w:hanging="360"/>
      </w:pPr>
      <w:rPr>
        <w:rFonts w:ascii="Times New Roman" w:eastAsia="Times New Roman" w:hAnsi="Times New Roman" w:cs="Times New Roman" w:hint="default"/>
        <w:color w:val="auto"/>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2E"/>
    <w:rsid w:val="000273D9"/>
    <w:rsid w:val="001A2B98"/>
    <w:rsid w:val="0029292F"/>
    <w:rsid w:val="00346D2E"/>
    <w:rsid w:val="003D56F3"/>
    <w:rsid w:val="003F2310"/>
    <w:rsid w:val="00461998"/>
    <w:rsid w:val="004E29D4"/>
    <w:rsid w:val="005052DF"/>
    <w:rsid w:val="00543C42"/>
    <w:rsid w:val="005A2CE0"/>
    <w:rsid w:val="006D2E5B"/>
    <w:rsid w:val="006D3A14"/>
    <w:rsid w:val="008870DB"/>
    <w:rsid w:val="00914990"/>
    <w:rsid w:val="00A0602D"/>
    <w:rsid w:val="00AE61ED"/>
    <w:rsid w:val="00C44F7B"/>
    <w:rsid w:val="00CF0A20"/>
    <w:rsid w:val="00D42DDD"/>
    <w:rsid w:val="00D70447"/>
    <w:rsid w:val="00DD17AE"/>
    <w:rsid w:val="00E21BA3"/>
    <w:rsid w:val="00F36F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C288"/>
  <w15:chartTrackingRefBased/>
  <w15:docId w15:val="{83C4A1F3-2B7F-4F1A-A5BD-C614255A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6D2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46D2E"/>
    <w:rPr>
      <w:b/>
      <w:bCs/>
    </w:rPr>
  </w:style>
  <w:style w:type="character" w:styleId="Hipervnculo">
    <w:name w:val="Hyperlink"/>
    <w:basedOn w:val="Fuentedeprrafopredeter"/>
    <w:uiPriority w:val="99"/>
    <w:semiHidden/>
    <w:unhideWhenUsed/>
    <w:rsid w:val="00DD17AE"/>
    <w:rPr>
      <w:color w:val="0000FF"/>
      <w:u w:val="single"/>
    </w:rPr>
  </w:style>
  <w:style w:type="paragraph" w:styleId="Prrafodelista">
    <w:name w:val="List Paragraph"/>
    <w:basedOn w:val="Normal"/>
    <w:uiPriority w:val="34"/>
    <w:qFormat/>
    <w:rsid w:val="00F36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89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Impuesto_a_las_Ganancias_(Argentina)" TargetMode="External"/><Relationship Id="rId5" Type="http://schemas.openxmlformats.org/officeDocument/2006/relationships/hyperlink" Target="https://es.wikipedia.org/wiki/Argentin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891</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Vanetta</dc:creator>
  <cp:keywords/>
  <dc:description/>
  <cp:lastModifiedBy>Agustin Vanetta</cp:lastModifiedBy>
  <cp:revision>27</cp:revision>
  <dcterms:created xsi:type="dcterms:W3CDTF">2021-09-25T13:48:00Z</dcterms:created>
  <dcterms:modified xsi:type="dcterms:W3CDTF">2021-10-09T00:33:00Z</dcterms:modified>
</cp:coreProperties>
</file>