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rFonts w:ascii="Calibri" w:hAnsi="Calibri"/>
          <w:b/>
          <w:color w:val="990000"/>
          <w:sz w:val="24"/>
        </w:rPr>
        <w:t>AGVG LAB TOOLS</w:t>
      </w:r>
    </w:p>
    <w:p>
      <w:pPr>
        <w:spacing w:after="160"/>
        <w:jc w:val="center"/>
      </w:pPr>
      <w:r>
        <w:rPr>
          <w:rFonts w:ascii="Calibri" w:hAnsi="Calibri"/>
          <w:b/>
          <w:color w:val="1F4D78"/>
          <w:sz w:val="56"/>
        </w:rPr>
        <w:t>Biology-First User and Methods Manual</w:t>
      </w:r>
    </w:p>
    <w:p>
      <w:pPr>
        <w:spacing w:after="560"/>
        <w:jc w:val="center"/>
      </w:pPr>
      <w:r>
        <w:rPr>
          <w:rFonts w:ascii="Calibri" w:hAnsi="Calibri"/>
          <w:i/>
          <w:color w:val="5A5A5A"/>
          <w:sz w:val="27"/>
        </w:rPr>
        <w:t>How to choose, operate, tune, review, and interpret the Vidal-Gadea Lab analysis ecosystem</w:t>
      </w:r>
    </w:p>
    <w:p>
      <w:pPr>
        <w:spacing w:after="1160"/>
        <w:jc w:val="center"/>
      </w:pPr>
      <w:r>
        <w:rPr>
          <w:rFonts w:ascii="Calibri" w:hAnsi="Calibri"/>
          <w:b/>
          <w:color w:val="990000"/>
          <w:sz w:val="22"/>
        </w:rPr>
        <w:t>A living manual for C. elegans behavior, physiology, and morphology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Audience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Worm scientists, students, and collaborators using the Lab Hub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Manual version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Software snapshot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Lab Hub installer v9; 24 registered tool entries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Prepared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July 19, 2026</w:t>
            </w:r>
          </w:p>
        </w:tc>
      </w:tr>
    </w:tbl>
    <w:p>
      <w:pPr>
        <w:spacing w:before="560"/>
        <w:jc w:val="center"/>
      </w:pPr>
      <w:r>
        <w:rPr>
          <w:rFonts w:ascii="Calibri" w:hAnsi="Calibri"/>
          <w:i/>
          <w:color w:val="5A5A5A"/>
          <w:sz w:val="21"/>
        </w:rPr>
        <w:t>Design principle: begin with the biological question, expose assumptions that vary with biology, and preserve evidence for human review.</w:t>
      </w:r>
    </w:p>
    <w:p>
      <w:r>
        <w:br w:type="page"/>
      </w:r>
    </w:p>
    <w:p>
      <w:pPr>
        <w:pStyle w:val="Heading1"/>
      </w:pPr>
      <w:r>
        <w:t>How to use this manual</w:t>
      </w:r>
    </w:p>
    <w:p>
      <w:r>
        <w:t>Part I gets a new user from raw recording to reviewed result. Part II explains the shared scientific design of the ecosystem. Parts III-VII document every current Hub entry by category. Read the complete chapter for any tool before using its outputs as publication-grade measurements.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/>
                <w:b/>
                <w:color w:val="990000"/>
                <w:sz w:val="20"/>
              </w:rPr>
              <w:t xml:space="preserve">Living-document rule  </w:t>
            </w:r>
            <w:r>
              <w:rPr>
                <w:rFonts w:ascii="Calibri" w:hAnsi="Calibri"/>
                <w:sz w:val="20"/>
              </w:rPr>
              <w:t>When a tool changes, update its aim, exposed controls, measurement definition, outputs, validation status, and failure modes in the same software release.</w:t>
            </w:r>
          </w:p>
        </w:tc>
      </w:tr>
    </w:tbl>
    <w:p>
      <w:pPr>
        <w:spacing w:after="0"/>
      </w:pPr>
    </w:p>
    <w:p>
      <w:pPr>
        <w:pStyle w:val="Heading1"/>
      </w:pPr>
      <w:r>
        <w:t>Contents</w:t>
      </w:r>
    </w:p>
    <w:p>
      <w:pPr>
        <w:pStyle w:val="ListBullet"/>
      </w:pPr>
      <w:r>
        <w:t>Part I - Get running quickly</w:t>
      </w:r>
    </w:p>
    <w:p>
      <w:pPr>
        <w:pStyle w:val="ListBullet"/>
      </w:pPr>
      <w:r>
        <w:t>Part II - Shared scientific and computational principles</w:t>
      </w:r>
    </w:p>
    <w:p>
      <w:pPr>
        <w:pStyle w:val="ListBullet"/>
      </w:pPr>
      <w:r>
        <w:t>Part III - Motor output: locomotion and sensory-guided behavior</w:t>
      </w:r>
    </w:p>
    <w:p>
      <w:pPr>
        <w:pStyle w:val="ListBullet"/>
      </w:pPr>
      <w:r>
        <w:t>Part IV - Motor output: rhythmic programs</w:t>
      </w:r>
    </w:p>
    <w:p>
      <w:pPr>
        <w:pStyle w:val="ListBullet"/>
      </w:pPr>
      <w:r>
        <w:t>Part V - Physiology: calcium and cellular activity</w:t>
      </w:r>
    </w:p>
    <w:p>
      <w:pPr>
        <w:pStyle w:val="ListBullet"/>
      </w:pPr>
      <w:r>
        <w:t>Part VI - Anatomy and morphology</w:t>
      </w:r>
    </w:p>
    <w:p>
      <w:pPr>
        <w:pStyle w:val="ListBullet"/>
      </w:pPr>
      <w:r>
        <w:t>Part VII - Acquisition and utilities</w:t>
      </w:r>
    </w:p>
    <w:p>
      <w:pPr>
        <w:pStyle w:val="ListBullet"/>
      </w:pPr>
      <w:r>
        <w:t>Part VIII - Validation, statistics, troubleshooting, and maintenance</w:t>
      </w:r>
    </w:p>
    <w:p>
      <w:pPr>
        <w:pStyle w:val="Heading1"/>
      </w:pPr>
      <w:r>
        <w:t>Part I - Get running quickly</w:t>
      </w:r>
    </w:p>
    <w:p>
      <w:pPr>
        <w:pStyle w:val="Heading2"/>
      </w:pPr>
      <w:r>
        <w:t>First use on a lab computer</w:t>
      </w:r>
    </w:p>
    <w:p>
      <w:pPr>
        <w:pStyle w:val="ListNumber"/>
      </w:pPr>
      <w:r>
        <w:t>Run Setup_Lab_Tools.bat once on the computer.</w:t>
      </w:r>
    </w:p>
    <w:p>
      <w:pPr>
        <w:pStyle w:val="ListNumber"/>
      </w:pPr>
      <w:r>
        <w:t>Launch the ecosystem with Launch_Lab_Hub.bat.</w:t>
      </w:r>
    </w:p>
    <w:p>
      <w:pPr>
        <w:pStyle w:val="ListNumber"/>
      </w:pPr>
      <w:r>
        <w:t>Select the biological category and read the entry requirement shown beside the tool.</w:t>
      </w:r>
    </w:p>
    <w:p>
      <w:pPr>
        <w:pStyle w:val="ListNumber"/>
      </w:pPr>
      <w:r>
        <w:t>Probe unfamiliar movies before analysis; convert them when Fiji or a tracker needs a clean TIFF stack.</w:t>
      </w:r>
    </w:p>
    <w:p>
      <w:pPr>
        <w:pStyle w:val="ListNumber"/>
      </w:pPr>
      <w:r>
        <w:t>Enter acquisition metadata from the recording, never from a guess.</w:t>
      </w:r>
    </w:p>
    <w:p>
      <w:pPr>
        <w:pStyle w:val="ListNumber"/>
      </w:pPr>
      <w:r>
        <w:t>Review every flagged track, event, ROI, interval, or segmentation before accepting the result.</w:t>
      </w:r>
    </w:p>
    <w:p>
      <w:pPr>
        <w:pStyle w:val="ListNumber"/>
      </w:pPr>
      <w:r>
        <w:t>Keep raw data, reviewed outputs, metadata, ROI files, and the exact installer version together.</w:t>
      </w:r>
    </w:p>
    <w:p>
      <w:pPr>
        <w:pStyle w:val="Heading2"/>
      </w:pPr>
      <w:r>
        <w:t>The five questions to answer before choosing a tool</w:t>
      </w:r>
    </w:p>
    <w:p>
      <w:pPr>
        <w:pStyle w:val="ListBullet"/>
      </w:pPr>
      <w:r>
        <w:t>What is the biological unit: one worm, a population, one plate, one muscle, one neuron, or one egg?</w:t>
      </w:r>
    </w:p>
    <w:p>
      <w:pPr>
        <w:pStyle w:val="ListBullet"/>
      </w:pPr>
      <w:r>
        <w:t>Is identity through time required, or is an identity-free population state more defensible?</w:t>
      </w:r>
    </w:p>
    <w:p>
      <w:pPr>
        <w:pStyle w:val="ListBullet"/>
      </w:pPr>
      <w:r>
        <w:t>Is the desired quantity a posture, event, rate, trajectory, spatial distribution, fluorescence signal, or morphology?</w:t>
      </w:r>
    </w:p>
    <w:p>
      <w:pPr>
        <w:pStyle w:val="ListBullet"/>
      </w:pPr>
      <w:r>
        <w:t>Which acquisition properties are known: frame rate, exposure, spatial calibration, bit depth, channel identity, and orientation?</w:t>
      </w:r>
    </w:p>
    <w:p>
      <w:pPr>
        <w:pStyle w:val="ListBullet"/>
      </w:pPr>
      <w:r>
        <w:t>Which decisions require human biological judgment rather than a fixed algorithm?</w:t>
      </w:r>
    </w:p>
    <w:p>
      <w:pPr>
        <w:pStyle w:val="Heading2"/>
      </w:pPr>
      <w:r>
        <w:t>Fast tool-selection guide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260"/>
        <w:gridCol w:w="300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Question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Start with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Do not substitute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hAnsi="Calibri"/>
                <w:sz w:val="18"/>
              </w:rPr>
              <w:t>One worm's signed bending and movement</w:t>
            </w:r>
          </w:p>
        </w:tc>
        <w:tc>
          <w:tcPr>
            <w:tcW w:type="dxa" w:w="3260"/>
          </w:tcPr>
          <w:p>
            <w:r>
              <w:rPr>
                <w:rFonts w:ascii="Calibri" w:hAnsi="Calibri"/>
                <w:sz w:val="18"/>
              </w:rPr>
              <w:t>Track one worm; then Kinematics analysis/browser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Population centroid tracking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hAnsi="Calibri"/>
                <w:sz w:val="18"/>
              </w:rPr>
              <w:t>One worm's swimming bouts</w:t>
            </w:r>
          </w:p>
        </w:tc>
        <w:tc>
          <w:tcPr>
            <w:tcW w:type="dxa" w:w="3260"/>
          </w:tcPr>
          <w:p>
            <w:r>
              <w:rPr>
                <w:rFonts w:ascii="Calibri" w:hAnsi="Calibri"/>
                <w:sz w:val="18"/>
              </w:rPr>
              <w:t>Single-worm swimming analysis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Population modality proposals without review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hAnsi="Calibri"/>
                <w:sz w:val="18"/>
              </w:rPr>
              <w:t>Many worms swimming/crawling/burrowing</w:t>
            </w:r>
          </w:p>
        </w:tc>
        <w:tc>
          <w:tcPr>
            <w:tcW w:type="dxa" w:w="3260"/>
          </w:tcPr>
          <w:p>
            <w:r>
              <w:rPr>
                <w:rFonts w:ascii="Calibri" w:hAnsi="Calibri"/>
                <w:sz w:val="18"/>
              </w:rPr>
              <w:t>Population swimming + modality review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One frequency threshold alone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hAnsi="Calibri"/>
                <w:sz w:val="18"/>
              </w:rPr>
              <w:t>Response to OP50 entry</w:t>
            </w:r>
          </w:p>
        </w:tc>
        <w:tc>
          <w:tcPr>
            <w:tcW w:type="dxa" w:w="3260"/>
          </w:tcPr>
          <w:p>
            <w:r>
              <w:rPr>
                <w:rFonts w:ascii="Calibri" w:hAnsi="Calibri"/>
                <w:sz w:val="18"/>
              </w:rPr>
              <w:t>Population basal slowing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Unpaired population averages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hAnsi="Calibri"/>
                <w:sz w:val="18"/>
              </w:rPr>
              <w:t>Plate orientation without reliable identity</w:t>
            </w:r>
          </w:p>
        </w:tc>
        <w:tc>
          <w:tcPr>
            <w:tcW w:type="dxa" w:w="3260"/>
          </w:tcPr>
          <w:p>
            <w:r>
              <w:rPr>
                <w:rFonts w:ascii="Calibri" w:hAnsi="Calibri"/>
                <w:sz w:val="18"/>
              </w:rPr>
              <w:t>Population orientation; then Combine orientation plates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Treating worms as independent N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hAnsi="Calibri"/>
                <w:sz w:val="18"/>
              </w:rPr>
              <w:t>Pumps, pBoc, or eggs</w:t>
            </w:r>
          </w:p>
        </w:tc>
        <w:tc>
          <w:tcPr>
            <w:tcW w:type="dxa" w:w="3260"/>
          </w:tcPr>
          <w:p>
            <w:r>
              <w:rPr>
                <w:rFonts w:ascii="Calibri" w:hAnsi="Calibri"/>
                <w:sz w:val="18"/>
              </w:rPr>
              <w:t>The matching rhythmic-program tool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Generic motion peaks without event review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hAnsi="Calibri"/>
                <w:sz w:val="18"/>
              </w:rPr>
              <w:t>Muscle calcium in moving animals</w:t>
            </w:r>
          </w:p>
        </w:tc>
        <w:tc>
          <w:tcPr>
            <w:tcW w:type="dxa" w:w="3260"/>
          </w:tcPr>
          <w:p>
            <w:r>
              <w:rPr>
                <w:rFonts w:ascii="Calibri" w:hAnsi="Calibri"/>
                <w:sz w:val="18"/>
              </w:rPr>
              <w:t>RGBCaMP extractor + analysis/browser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Raw intensity without QC and channel caveats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hAnsi="Calibri"/>
                <w:sz w:val="18"/>
              </w:rPr>
              <w:t>Single neuron plus body orientation</w:t>
            </w:r>
          </w:p>
        </w:tc>
        <w:tc>
          <w:tcPr>
            <w:tcW w:type="dxa" w:w="3260"/>
          </w:tcPr>
          <w:p>
            <w:r>
              <w:rPr>
                <w:rFonts w:ascii="Calibri" w:hAnsi="Calibri"/>
                <w:sz w:val="18"/>
              </w:rPr>
              <w:t>Neuron tracker or AFD_MTP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Whole-worm centroid as neuron position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hAnsi="Calibri"/>
                <w:sz w:val="18"/>
              </w:rPr>
              <w:t>Muscle structure</w:t>
            </w:r>
          </w:p>
        </w:tc>
        <w:tc>
          <w:tcPr>
            <w:tcW w:type="dxa" w:w="3260"/>
          </w:tcPr>
          <w:p>
            <w:r>
              <w:rPr>
                <w:rFonts w:ascii="Calibri" w:hAnsi="Calibri"/>
                <w:sz w:val="18"/>
              </w:rPr>
              <w:t>Myocyte or nonstriated morphology mode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One universal damage score</w:t>
            </w:r>
          </w:p>
        </w:tc>
      </w:tr>
    </w:tbl>
    <w:p>
      <w:pPr>
        <w:pStyle w:val="Heading2"/>
      </w:pPr>
      <w:r>
        <w:t>A standard analysis session</w:t>
      </w:r>
    </w:p>
    <w:p>
      <w:pPr>
        <w:pStyle w:val="ListNumber"/>
      </w:pPr>
      <w:r>
        <w:t>Preserve raw data as read-only and analyze a copy or a designated results folder.</w:t>
      </w:r>
    </w:p>
    <w:p>
      <w:pPr>
        <w:pStyle w:val="ListNumber"/>
      </w:pPr>
      <w:r>
        <w:t>Record biological metadata: strain, age, condition, temperature, assay geometry, and experimental unit.</w:t>
      </w:r>
    </w:p>
    <w:p>
      <w:pPr>
        <w:pStyle w:val="ListNumber"/>
      </w:pPr>
      <w:r>
        <w:t>Record acquisition metadata: FPS, scale, exposure, channel roles, bit depth, and compression.</w:t>
      </w:r>
    </w:p>
    <w:p>
      <w:pPr>
        <w:pStyle w:val="ListNumber"/>
      </w:pPr>
      <w:r>
        <w:t>Choose ROIs, intervals, orientation, and thresholds from visible biology, not to force an expected answer.</w:t>
      </w:r>
    </w:p>
    <w:p>
      <w:pPr>
        <w:pStyle w:val="ListNumber"/>
      </w:pPr>
      <w:r>
        <w:t>Run automated detection and inspect QC overlays.</w:t>
      </w:r>
    </w:p>
    <w:p>
      <w:pPr>
        <w:pStyle w:val="ListNumber"/>
      </w:pPr>
      <w:r>
        <w:t>Correct, relabel, or reject uncertain candidates; do not silently interpolate biological events.</w:t>
      </w:r>
    </w:p>
    <w:p>
      <w:pPr>
        <w:pStyle w:val="ListNumber"/>
      </w:pPr>
      <w:r>
        <w:t>Export reviewed tables and retain provenance.</w:t>
      </w:r>
    </w:p>
    <w:p>
      <w:pPr>
        <w:pStyle w:val="ListNumber"/>
      </w:pPr>
      <w:r>
        <w:t>Analyze at the correct inferential level: worm or plate, not frames, segments, or repeated events as independent N.</w:t>
      </w:r>
    </w:p>
    <w:p>
      <w:pPr>
        <w:pStyle w:val="Heading1"/>
      </w:pPr>
      <w:r>
        <w:t>Part II - Shared scientific and computational principles</w:t>
      </w:r>
    </w:p>
    <w:p>
      <w:pPr>
        <w:pStyle w:val="Heading2"/>
      </w:pPr>
      <w:r>
        <w:t>Built from the biology back</w:t>
      </w:r>
    </w:p>
    <w:p>
      <w:r>
        <w:t>The ecosystem is not one generic computer-vision pipeline with different labels. Each tool begins with the biological feature to be captured, then chooses the minimal image evidence and human decisions needed to measure that feature. A pumping interval can be valid even when the rest of the movie is unusable. A plate-level orientation assay can be valid without maintaining worm identity. Basal slowing requires within-worm entry histories. These are biological distinctions, not interface preferences.</w:t>
      </w:r>
    </w:p>
    <w:p>
      <w:pPr>
        <w:pStyle w:val="Heading2"/>
      </w:pPr>
      <w:r>
        <w:t>Why controls are exposed</w:t>
      </w:r>
    </w:p>
    <w:p>
      <w:pPr>
        <w:pStyle w:val="ListBullet"/>
      </w:pPr>
      <w:r>
        <w:t>Frame rate and exposure determine which temporal events can be resolved.</w:t>
      </w:r>
    </w:p>
    <w:p>
      <w:pPr>
        <w:pStyle w:val="ListBullet"/>
      </w:pPr>
      <w:r>
        <w:t>Spatial calibration determines whether distances and velocities are physical units or pixels.</w:t>
      </w:r>
    </w:p>
    <w:p>
      <w:pPr>
        <w:pStyle w:val="ListBullet"/>
      </w:pPr>
      <w:r>
        <w:t>Object size, contrast, and tracking gates vary with magnification, illumination, strain, stage, and posture.</w:t>
      </w:r>
    </w:p>
    <w:p>
      <w:pPr>
        <w:pStyle w:val="ListBullet"/>
      </w:pPr>
      <w:r>
        <w:t>ROIs encode assay geometry or suppress known artifacts; they are saved because they change the analyzed population.</w:t>
      </w:r>
    </w:p>
    <w:p>
      <w:pPr>
        <w:pStyle w:val="ListBullet"/>
      </w:pPr>
      <w:r>
        <w:t>Before/after windows, buffers, and cadence limits encode a biological comparison and must remain auditable.</w:t>
      </w:r>
    </w:p>
    <w:p>
      <w:pPr>
        <w:pStyle w:val="ListBullet"/>
      </w:pPr>
      <w:r>
        <w:t>Orientation and tissue-mode choices define anatomical coordinates and cannot always be inferred safely.</w:t>
      </w:r>
    </w:p>
    <w:p>
      <w:pPr>
        <w:pStyle w:val="ListBullet"/>
      </w:pPr>
      <w:r>
        <w:t>Manual review exists where image evidence is ambiguous or biological identity matters.</w:t>
      </w:r>
    </w:p>
    <w:p>
      <w:pPr>
        <w:pStyle w:val="Heading2"/>
      </w:pPr>
      <w:r>
        <w:t>Automation proposes; review establishes the analyzed set</w:t>
      </w:r>
    </w:p>
    <w:p>
      <w:r>
        <w:t>Experimental detectors should be understood as candidate generators. Orange, red, uncertain, collision, edge, short-coverage, saturation, and low-coherence states direct attention. They are not inconvenient records to delete. Reviewed outputs must remain linked to automated evidence and the original data.</w:t>
      </w:r>
    </w:p>
    <w:p>
      <w:pPr>
        <w:pStyle w:val="Heading2"/>
      </w:pPr>
      <w:r>
        <w:t>Calibration and provenance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60"/>
        <w:gridCol w:w="390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Item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Effect if wrong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Required practice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sz w:val="18"/>
              </w:rPr>
              <w:t>FPS</w:t>
            </w:r>
          </w:p>
        </w:tc>
        <w:tc>
          <w:tcPr>
            <w:tcW w:type="dxa" w:w="3560"/>
          </w:tcPr>
          <w:p>
            <w:r>
              <w:rPr>
                <w:rFonts w:ascii="Calibri" w:hAnsi="Calibri"/>
                <w:sz w:val="18"/>
              </w:rPr>
              <w:t>Frequency, rates, event durations, and velocities are wrong</w:t>
            </w:r>
          </w:p>
        </w:tc>
        <w:tc>
          <w:tcPr>
            <w:tcW w:type="dxa" w:w="3900"/>
          </w:tcPr>
          <w:p>
            <w:r>
              <w:rPr>
                <w:rFonts w:ascii="Calibri" w:hAnsi="Calibri"/>
                <w:sz w:val="18"/>
              </w:rPr>
              <w:t>Use the acquisition setting or verified timestamps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sz w:val="18"/>
              </w:rPr>
              <w:t>Micrometers per pixel</w:t>
            </w:r>
          </w:p>
        </w:tc>
        <w:tc>
          <w:tcPr>
            <w:tcW w:type="dxa" w:w="3560"/>
          </w:tcPr>
          <w:p>
            <w:r>
              <w:rPr>
                <w:rFonts w:ascii="Calibri" w:hAnsi="Calibri"/>
                <w:sz w:val="18"/>
              </w:rPr>
              <w:t>Lengths, areas, and velocities are scaled incorrectly</w:t>
            </w:r>
          </w:p>
        </w:tc>
        <w:tc>
          <w:tcPr>
            <w:tcW w:type="dxa" w:w="3900"/>
          </w:tcPr>
          <w:p>
            <w:r>
              <w:rPr>
                <w:rFonts w:ascii="Calibri" w:hAnsi="Calibri"/>
                <w:sz w:val="18"/>
              </w:rPr>
              <w:t>Use a stage micrometer or explicit two-point calibration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sz w:val="18"/>
              </w:rPr>
              <w:t>Exposure</w:t>
            </w:r>
          </w:p>
        </w:tc>
        <w:tc>
          <w:tcPr>
            <w:tcW w:type="dxa" w:w="3560"/>
          </w:tcPr>
          <w:p>
            <w:r>
              <w:rPr>
                <w:rFonts w:ascii="Calibri" w:hAnsi="Calibri"/>
                <w:sz w:val="18"/>
              </w:rPr>
              <w:t>Fast motion may be blurred and temporal precision overstated</w:t>
            </w:r>
          </w:p>
        </w:tc>
        <w:tc>
          <w:tcPr>
            <w:tcW w:type="dxa" w:w="3900"/>
          </w:tcPr>
          <w:p>
            <w:r>
              <w:rPr>
                <w:rFonts w:ascii="Calibri" w:hAnsi="Calibri"/>
                <w:sz w:val="18"/>
              </w:rPr>
              <w:t>Record declared exposure and inspect blur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sz w:val="18"/>
              </w:rPr>
              <w:t>Bit depth/compression</w:t>
            </w:r>
          </w:p>
        </w:tc>
        <w:tc>
          <w:tcPr>
            <w:tcW w:type="dxa" w:w="3560"/>
          </w:tcPr>
          <w:p>
            <w:r>
              <w:rPr>
                <w:rFonts w:ascii="Calibri" w:hAnsi="Calibri"/>
                <w:sz w:val="18"/>
              </w:rPr>
              <w:t>Absolute fluorescence and fine morphology may be distorted</w:t>
            </w:r>
          </w:p>
        </w:tc>
        <w:tc>
          <w:tcPr>
            <w:tcW w:type="dxa" w:w="3900"/>
          </w:tcPr>
          <w:p>
            <w:r>
              <w:rPr>
                <w:rFonts w:ascii="Calibri" w:hAnsi="Calibri"/>
                <w:sz w:val="18"/>
              </w:rPr>
              <w:t>Prefer raw data; preserve source-depth warnings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sz w:val="18"/>
              </w:rPr>
              <w:t>Head-tail and dorsal-ventral orientation</w:t>
            </w:r>
          </w:p>
        </w:tc>
        <w:tc>
          <w:tcPr>
            <w:tcW w:type="dxa" w:w="3560"/>
          </w:tcPr>
          <w:p>
            <w:r>
              <w:rPr>
                <w:rFonts w:ascii="Calibri" w:hAnsi="Calibri"/>
                <w:sz w:val="18"/>
              </w:rPr>
              <w:t>Signs, regions, and directional propagation can reverse</w:t>
            </w:r>
          </w:p>
        </w:tc>
        <w:tc>
          <w:tcPr>
            <w:tcW w:type="dxa" w:w="3900"/>
          </w:tcPr>
          <w:p>
            <w:r>
              <w:rPr>
                <w:rFonts w:ascii="Calibri" w:hAnsi="Calibri"/>
                <w:sz w:val="18"/>
              </w:rPr>
              <w:t>Set orientation visibly and retain provenance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sz w:val="18"/>
              </w:rPr>
              <w:t>ROI/interval</w:t>
            </w:r>
          </w:p>
        </w:tc>
        <w:tc>
          <w:tcPr>
            <w:tcW w:type="dxa" w:w="3560"/>
          </w:tcPr>
          <w:p>
            <w:r>
              <w:rPr>
                <w:rFonts w:ascii="Calibri" w:hAnsi="Calibri"/>
                <w:sz w:val="18"/>
              </w:rPr>
              <w:t>The sampled population or time changes</w:t>
            </w:r>
          </w:p>
        </w:tc>
        <w:tc>
          <w:tcPr>
            <w:tcW w:type="dxa" w:w="3900"/>
          </w:tcPr>
          <w:p>
            <w:r>
              <w:rPr>
                <w:rFonts w:ascii="Calibri" w:hAnsi="Calibri"/>
                <w:sz w:val="18"/>
              </w:rPr>
              <w:t>Save geometry and reviewed bounds</w:t>
            </w:r>
          </w:p>
        </w:tc>
      </w:tr>
    </w:tbl>
    <w:p>
      <w:pPr>
        <w:pStyle w:val="Heading2"/>
      </w:pPr>
      <w:r>
        <w:t>QC is part of the measurement</w:t>
      </w:r>
    </w:p>
    <w:p>
      <w:pPr>
        <w:pStyle w:val="ListBullet"/>
      </w:pPr>
      <w:r>
        <w:t>Segmentation quality: the mask represents the intended animal, tissue, cell, or egg.</w:t>
      </w:r>
    </w:p>
    <w:p>
      <w:pPr>
        <w:pStyle w:val="ListBullet"/>
      </w:pPr>
      <w:r>
        <w:t>Identity quality: track continuity remains plausible across gaps and crossings.</w:t>
      </w:r>
    </w:p>
    <w:p>
      <w:pPr>
        <w:pStyle w:val="ListBullet"/>
      </w:pPr>
      <w:r>
        <w:t>Temporal coverage: the recording includes enough valid time for the claimed frequency or event rate.</w:t>
      </w:r>
    </w:p>
    <w:p>
      <w:pPr>
        <w:pStyle w:val="ListBullet"/>
      </w:pPr>
      <w:r>
        <w:t>Spatial coverage: the object is not clipped by the frame or excluded by an unrecorded ROI choice.</w:t>
      </w:r>
    </w:p>
    <w:p>
      <w:pPr>
        <w:pStyle w:val="ListBullet"/>
      </w:pPr>
      <w:r>
        <w:t>Biological visibility: the relevant structure is genuinely discernible to a trained observer.</w:t>
      </w:r>
    </w:p>
    <w:p>
      <w:pPr>
        <w:pStyle w:val="ListBullet"/>
      </w:pPr>
      <w:r>
        <w:t>Inferential independence: repeated frames, segments, encounters, and animals on one plate are not promoted to independent replicates.</w:t>
      </w:r>
    </w:p>
    <w:p>
      <w:pPr>
        <w:pStyle w:val="Heading1"/>
      </w:pPr>
      <w:r>
        <w:t>Part III - Motor output: locomotion and sensory-guided behavior</w:t>
      </w:r>
    </w:p>
    <w:p>
      <w:pPr>
        <w:pStyle w:val="Heading2"/>
      </w:pPr>
      <w:r>
        <w:t>Track one worm (crawl, swim, burrow)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Ready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Create a signed, anatomically oriented time series of one visible worm's midline, posture, and movement.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One animal can be followed at sufficient resolution and downstream segment-level kinematics are required.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Separate assay modes recognize that crawling, swimming, and burrowing differ in posture amplitude, speed, and expected resolution.</w:t>
      </w:r>
    </w:p>
    <w:p>
      <w:pPr>
        <w:pStyle w:val="ListBullet"/>
      </w:pPr>
      <w:r>
        <w:t>The user marks the head because anterior-posterior sign cannot be inferred reliably from a symmetric mask.</w:t>
      </w:r>
    </w:p>
    <w:p>
      <w:pPr>
        <w:pStyle w:val="ListBullet"/>
      </w:pPr>
      <w:r>
        <w:t>A user-drawn outline establishes animal size and constrains tracking; flagged frames remain correctable.</w:t>
      </w:r>
    </w:p>
    <w:p>
      <w:pPr>
        <w:pStyle w:val="ListBullet"/>
      </w:pPr>
      <w:r>
        <w:t>Signed curvature is preserved rather than reduced to unsigned bend magnitude.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Assay mode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Changes tracking and resolution expectations for crawl, swim, or burrow.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FPS, scale, exposure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Define temporal resolution, physical units, and blur limits.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Head click and outline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Anchor anatomical orientation, body size, and segmentation.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Manual frame fixes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Repair tracking failures without discarding the whole recording.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The tracker segments the chosen worm, orders a head-to-tail midline, and carries the mask and midline forward through the movie.</w:t>
      </w:r>
    </w:p>
    <w:p>
      <w:r>
        <w:t>Frame-level QC identifies low-confidence masks or midlines. The reviewer can replace the head location and outline on flagged frames before export.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Tracking CSV with time, centroid, midline, signed curvature, body geometry, and provenance.</w:t>
      </w:r>
    </w:p>
    <w:p>
      <w:pPr>
        <w:pStyle w:val="ListBullet"/>
      </w:pPr>
      <w:r>
        <w:t>Use the CSV as the input to Kinematics analysis or Single-worm swimming analysis.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Coils, self-contact, overlaps, clipping, low contrast, abrupt focus changes, and motion blur can break the midline.</w:t>
      </w:r>
    </w:p>
    <w:p>
      <w:pPr>
        <w:pStyle w:val="ListBullet"/>
      </w:pPr>
      <w:r>
        <w:t>An incorrect head assignment reverses anatomical position and directional signs.</w:t>
      </w:r>
    </w:p>
    <w:p>
      <w:pPr>
        <w:pStyle w:val="ListBullet"/>
      </w:pPr>
      <w:r>
        <w:t>A mode cannot recover spatial or temporal information absent from the recording.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Correct only visibly wrong frames; do not redraw toward an expected waveform.</w:t>
      </w:r>
    </w:p>
    <w:p>
      <w:pPr>
        <w:pStyle w:val="ListBullet"/>
      </w:pPr>
      <w:r>
        <w:t>If the animal repeatedly leaves the field, shorten to a defensible interval.</w:t>
      </w:r>
    </w:p>
    <w:p>
      <w:pPr>
        <w:pStyle w:val="ListBullet"/>
      </w:pPr>
      <w:r>
        <w:t>Increase acquisition rate for high-frequency swimming; improve contrast before relaxing segmentation excessively.</w:t>
      </w:r>
    </w:p>
    <w:p>
      <w:pPr>
        <w:pStyle w:val="Heading2"/>
      </w:pPr>
      <w:r>
        <w:t>Kinematics extractor (Fiji)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Ready; Fiji companion extractor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Provide a manually supervised Fiji route to an approved midline and kinematics CSV.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The scientist prefers Fiji/ImageJ interaction or needs direct midline approval in a stack.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Manual midline approval is retained because anatomical errors propagate into every segment metric.</w:t>
      </w:r>
    </w:p>
    <w:p>
      <w:pPr>
        <w:pStyle w:val="ListBullet"/>
      </w:pPr>
      <w:r>
        <w:t>Extraction is separated from downstream biological summarization so raw measurements remain reusable.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Midline/outline approval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Defines the anatomical object used for segment measurements.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Stack and calibration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Determine time and physical scale.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Frame corrections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Allow biologically informed rescue of isolated failures.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The Fiji tool follows the worm through the stack, presents the midline for approval, and exports a structured CSV compatible with the Python analysis layer.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Approved kinematics CSV and Fiji-side visual evidence.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Fiji version/plugin installation differences; incorrect calibration; ambiguous head-tail; coils and self-contact.</w:t>
      </w:r>
    </w:p>
    <w:p>
      <w:pPr>
        <w:pStyle w:val="ListBullet"/>
      </w:pPr>
      <w:r>
        <w:t>Manual extraction can introduce scorer variability; document the scorer and review standard.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Use the same approval rubric across conditions and keep blinded scoring where possible.</w:t>
      </w:r>
    </w:p>
    <w:p>
      <w:pPr>
        <w:pStyle w:val="Heading2"/>
      </w:pPr>
      <w:r>
        <w:t>Kinematics analysis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Ready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Convert an extracted single-worm time series into biologically interpretable body-wave, locomotion, foraging, and dampening measurements.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A validated extractor CSV exists and the question concerns waveform, propagation, segment behavior, or locomotor output.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Analysis is downstream of extraction so measurement definitions can change without retracking.</w:t>
      </w:r>
    </w:p>
    <w:p>
      <w:pPr>
        <w:pStyle w:val="ListBullet"/>
      </w:pPr>
      <w:r>
        <w:t>Segment-level curvature is retained because posterior dampening and head foraging cannot be inferred from centroid speed.</w:t>
      </w:r>
    </w:p>
    <w:p>
      <w:pPr>
        <w:pStyle w:val="ListBullet"/>
      </w:pPr>
      <w:r>
        <w:t>QC-qualified intervals are summarized rather than treating all frames as equally valid.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Input CSV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Selects the recording and its embedded acquisition/QC metadata.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Analysis options exposed by launcher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Allow the scientist to choose outputs appropriate to the assay rather than computing unsupported claims.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The pipeline reads signed curvature and movement, constructs curvature kymographs, identifies body-wave descriptors, and produces locomotion, foraging, and posterior-dampening summaries.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Summary tables, segment/timecourse tables, kymographs, head-swing traces, and dampening figures.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Poor extractor output; wrong head-tail orientation; missing FPS/scale; too little usable time; self-contact that shortcuts curvature.</w:t>
      </w:r>
    </w:p>
    <w:p>
      <w:pPr>
        <w:pStyle w:val="ListBullet"/>
      </w:pPr>
      <w:r>
        <w:t>Frequency estimates from short or discontinuous traces may be unstable.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Inspect the browser before interpreting a summary; restrict analysis to valid continuous runs when necessary.</w:t>
      </w:r>
    </w:p>
    <w:p>
      <w:pPr>
        <w:pStyle w:val="Heading2"/>
      </w:pPr>
      <w:r>
        <w:t>Kinematics browser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Ready; results viewer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Let the scientist inspect one recording's derived kinematics rather than relying only on summary numbers.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A kinematics analysis folder exists and segment/time relationships need visual checking.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A browser is a scientific control: segment selection and kymograph inspection expose artifacts hidden by means.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Selected segments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Focuses curvature traces on anatomically relevant regions.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Recording/result set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Preserves one-to-one linkage with source analysis.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The browser loads result tables and figures, displays signed-curvature kymographs, and allows selected segment traces to be explored.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Interactive views; no new biological measurements unless explicitly exported.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Missing/incomplete result files; confusing recordings; overinterpretation of visually selected segments.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Choose segments before inspecting condition labels when exploratory selection could bias conclusions.</w:t>
      </w:r>
    </w:p>
    <w:p>
      <w:pPr>
        <w:pStyle w:val="Heading2"/>
      </w:pPr>
      <w:r>
        <w:t>Single-worm swimming analysis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Ready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Measure swimming frequency, occupancy, amplitude, phase organization, and usable coverage from one high-resolution swimming track.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A Track one worm CSV was acquired in swimming mode and segment-resolved swimming metrics are needed.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Swimming is analyzed from curvature, not centroid oscillation alone.</w:t>
      </w:r>
    </w:p>
    <w:p>
      <w:pPr>
        <w:pStyle w:val="ListBullet"/>
      </w:pPr>
      <w:r>
        <w:t>Usable coverage and contiguous runs are reported because an average frequency can conceal missing or fragmented data.</w:t>
      </w:r>
    </w:p>
    <w:p>
      <w:pPr>
        <w:pStyle w:val="ListBullet"/>
      </w:pPr>
      <w:r>
        <w:t>Segment amplitude and phase retain where and how the wave changes along the body.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Input swimming CSV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Ensures the correct assay mode and metadata.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Run/quality thresholds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Define how much continuous evidence is required for a frequency estimate.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The tool identifies valid contiguous swimming runs, estimates oscillation frequency, computes segment amplitude profiles and phase relationships, and records frame-level state/QC.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Swimming summary; contiguous-run frequencies; amplitude profile; frame QC/state.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Short bouts; low FPS; blur; poor midlines; coils; mixed crawling/burrowing in the selected recording.</w:t>
      </w:r>
    </w:p>
    <w:p>
      <w:pPr>
        <w:pStyle w:val="ListBullet"/>
      </w:pPr>
      <w:r>
        <w:t>A whole-recording mean may be biologically misleading when modality changes.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Use the population modality tool for mixed-population movies; split or relabel mixed single-worm bouts before combining them.</w:t>
      </w:r>
    </w:p>
    <w:p>
      <w:pPr>
        <w:pStyle w:val="Heading2"/>
      </w:pPr>
      <w:r>
        <w:t>Population swimming + modality review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Experimental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Track many animals and quantify reviewed swimming, crawling, burrowing, and uncertain bouts independently within one movie.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Multiple worms are visible at low magnification and population-level modality occupancy or kinematics are desired.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Identity linking uses predicted motion and flags close competing assignments.</w:t>
      </w:r>
    </w:p>
    <w:p>
      <w:pPr>
        <w:pStyle w:val="ListBullet"/>
      </w:pPr>
      <w:r>
        <w:t>A 25-point oriented spine replaces the earlier ellipse-axis frequency proxy.</w:t>
      </w:r>
    </w:p>
    <w:p>
      <w:pPr>
        <w:pStyle w:val="ListBullet"/>
      </w:pPr>
      <w:r>
        <w:t>Swimming, crawling, and burrowing use combined frequency, C/S/W curvature topology, speed, wave lag, and temporal persistence; frequency alone is insufficient.</w:t>
      </w:r>
    </w:p>
    <w:p>
      <w:pPr>
        <w:pStyle w:val="ListBullet"/>
      </w:pPr>
      <w:r>
        <w:t>Four-second overlapping proposals are smoothed into bouts, but every bout remains a human-review candidate.</w:t>
      </w:r>
    </w:p>
    <w:p>
      <w:pPr>
        <w:pStyle w:val="ListBullet"/>
      </w:pPr>
      <w:r>
        <w:t>ROIs are optional: full-frame analysis is the default; include/exclude geometry exists for assay boundaries and static artifacts.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FPS and scale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Set frequency and physical velocity.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Minimum/maximum object area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Adapt segmentation to magnification, stage, and posture.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ROI mode: none/include/exclude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Keep full-frame default or restrict/suppress detections in oval, rectangle, or polygon regions.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Manual track acceptance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Controls which identities enter bout review.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Bout confirm/relabel/reject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Establishes the final biological modality labels.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A median background isolates moving objects; connected components are linked by constant-velocity prediction. Each mask is skeletonized and resampled to an oriented spine.</w:t>
      </w:r>
    </w:p>
    <w:p>
      <w:r>
        <w:t>Overlapping windows combine signed midbody curvature frequency, C/S/W scores, centroid speed, posterior wave lag, collision evidence, and spine coverage. A visual player shows the original frames, spine, centroid, and trajectory before final assignment.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Frame-level tracks/spines; track summaries; modality-window evidence; pending and reviewed bouts; per-modality time, bout count, speed, and frequency; ROI and analysis provenance.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Merged worms, crossings, stationary animals absorbed into the background, debris that moves, frame edges, poor skeletons, and low temporal resolution.</w:t>
      </w:r>
    </w:p>
    <w:p>
      <w:pPr>
        <w:pStyle w:val="ListBullet"/>
      </w:pPr>
      <w:r>
        <w:t>Burrowing and crawling frequency ranges overlap; posture and wave evidence can still be ambiguous.</w:t>
      </w:r>
    </w:p>
    <w:p>
      <w:pPr>
        <w:pStyle w:val="ListBullet"/>
      </w:pPr>
      <w:r>
        <w:t>Centroid-based ROI inclusion can omit a worm whose body crosses a boundary while its centroid remains outside.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Exclude persistent debris with an ROI; include only the assay chamber when the field contains irrelevant regions.</w:t>
      </w:r>
    </w:p>
    <w:p>
      <w:pPr>
        <w:pStyle w:val="ListBullet"/>
      </w:pPr>
      <w:r>
        <w:t>Adjust area gates only after inspecting masks; too narrow loses posture extremes, too broad admits merges.</w:t>
      </w:r>
    </w:p>
    <w:p>
      <w:pPr>
        <w:pStyle w:val="ListBullet"/>
      </w:pPr>
      <w:r>
        <w:t>Retain uncertain bouts or report their fraction; do not force labels to make percentages sum neatly.</w:t>
      </w:r>
    </w:p>
    <w:p>
      <w:pPr>
        <w:pStyle w:val="Heading2"/>
      </w:pPr>
      <w:r>
        <w:t>wrMTrck (Fiji)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Ready as an external Fiji plugin entry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Provide a familiar many-worm tracking option inside Fiji.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The experiment matches wrMTrck assumptions and its outputs are sufficient.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The Hub exposes the established plugin without pretending it shares the Lab Tools QC/provenance model.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Plugin thresholds/settings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Adapt detection and linking to the recording; definitions depend on the installed wrMTrck version.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Run wrMTrck from Fiji using its documented workflow and preserve its settings with results.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Plugin-defined trajectories and summaries.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Version sensitivity; limited integration with Lab Tools metadata; merges/crossings; threshold dependence.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Record Fiji and plugin versions. Do not compare wrMTrck and Lab Tools outputs as if definitions were identical.</w:t>
      </w:r>
    </w:p>
    <w:p>
      <w:pPr>
        <w:pStyle w:val="Heading2"/>
      </w:pPr>
      <w:r>
        <w:t>Population basal slowing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Experimental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Measure paired within-worm changes in velocity and bending before, during, and after OP50 lawn encounters, including repeated encounters.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A population disperses from a release droplet toward visible food lawns and individual histories can be reconstructed.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The start ROI is a release gate: clustered animals are ignored until a first observed or inferred exit.</w:t>
      </w:r>
    </w:p>
    <w:p>
      <w:pPr>
        <w:pStyle w:val="ListBullet"/>
      </w:pPr>
      <w:r>
        <w:t>Tracks remain active after later re-entry and through repeated lawn encounters.</w:t>
      </w:r>
    </w:p>
    <w:p>
      <w:pPr>
        <w:pStyle w:val="ListBullet"/>
      </w:pPr>
      <w:r>
        <w:t>Entry uses a configurable fraction of worm area inside the lawn, not centroid crossing alone.</w:t>
      </w:r>
    </w:p>
    <w:p>
      <w:pPr>
        <w:pStyle w:val="ListBullet"/>
      </w:pPr>
      <w:r>
        <w:t>Pre-entry frames must satisfy an outside buffer to avoid mixing boundary contact into baseline.</w:t>
      </w:r>
    </w:p>
    <w:p>
      <w:pPr>
        <w:pStyle w:val="ListBullet"/>
      </w:pPr>
      <w:r>
        <w:t>Conservative tracklet stitching uses position and aligned direction and preserves every inferred join.</w:t>
      </w:r>
    </w:p>
    <w:p>
      <w:pPr>
        <w:pStyle w:val="ListBullet"/>
      </w:pPr>
      <w:r>
        <w:t>Missing curvature frequency does not invalidate an otherwise usable paired speed comparison.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Start and lawn ROIs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Encode the actual release geometry and each food lawn.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Before/after windows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Balance biological timescale against available unambiguous frames.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Outside buffer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Defines a clean pre-contact baseline.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Fraction inside for entry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Matches how much body contact constitutes biological entry.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Area/link/stitch gates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Adapt detection and identity continuity while limiting false merges.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Track and event review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Determines which identities and encounters are scientifically usable.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Bright worms are detected against a low temporal background percentile. Masks yield centroids and 25-point spines. Tracks are linked and conservatively stitched, then evaluated against release and lawn geometry.</w:t>
      </w:r>
    </w:p>
    <w:p>
      <w:r>
        <w:t>Every entry receives paired windows, encounter order, elapsed times, cumulative prior exposure, residence time, post-exit measurements, and explicit QC reasons.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Reviewed tracks and stitches; frame-level position/spine/ROI state; paired entry events; reviewed events; descriptive summary; exact ROI and acquisition metadata.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Identity ambiguity at crossings; segmentation changes on food; boundary and edge effects; insufficient pre-entry space/time; collision; repeated encounters from the same worm.</w:t>
      </w:r>
    </w:p>
    <w:p>
      <w:pPr>
        <w:pStyle w:val="ListBullet"/>
      </w:pPr>
      <w:r>
        <w:t>Events are repeated observations, not independent animals. Absolute speed depends on calibration.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Shorten exploratory windows only with a documented rationale; preserve the original analysis.</w:t>
      </w:r>
    </w:p>
    <w:p>
      <w:pPr>
        <w:pStyle w:val="ListBullet"/>
      </w:pPr>
      <w:r>
        <w:t>Use mixed-effects/repeated-measures models for encounter histories.</w:t>
      </w:r>
    </w:p>
    <w:p>
      <w:pPr>
        <w:pStyle w:val="ListBullet"/>
      </w:pPr>
      <w:r>
        <w:t>Visually inspect apparent accelerations for centroid shifts caused by segmentation on OP50.</w:t>
      </w:r>
    </w:p>
    <w:p>
      <w:pPr>
        <w:pStyle w:val="Heading2"/>
      </w:pPr>
      <w:r>
        <w:t>Population orientation (plate state)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Ready for identity-free population-state configuration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Measure orientation toward/away from a stimulus at the plate level without requiring reliable individual identities.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The biological question concerns occupancy, angular/radial distribution, arrival, or a plate-level directional resultant.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Identity-free pixels/blobs are preferred when crowding or crossings make individual paths unreliable.</w:t>
      </w:r>
    </w:p>
    <w:p>
      <w:pPr>
        <w:pStyle w:val="ListBullet"/>
      </w:pPr>
      <w:r>
        <w:t>The plate, not each worm, is the inferential unit.</w:t>
      </w:r>
    </w:p>
    <w:p>
      <w:pPr>
        <w:pStyle w:val="ListBullet"/>
      </w:pPr>
      <w:r>
        <w:t>Stimulus, control, release positions, and scale are explicitly defined because assay geometry determines every angle and distance.</w:t>
      </w:r>
    </w:p>
    <w:p>
      <w:pPr>
        <w:pStyle w:val="ListBullet"/>
      </w:pPr>
      <w:r>
        <w:t>A per-worm path configuration remains gated until acquisition supports it.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Plate ID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Preserves the independent experimental unit.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FPS and two-point scale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Set temporal and spatial axes.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Stimulus/control/release positions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Define biological coordinate geometry.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ROIs and detection settings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Match the arena and visible population state.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Median background subtraction estimates occupancy and descriptive blobs. Radial and angular pixel distributions, arrivals, timecourses, and the plate resultant are computed without claiming persistent identity.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ROI occupancy, radial/angular distributions, plate timecourse, and one plate-level resultant.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Uneven illumination, stationary animals disappearing into background, debris, crowded masks, inaccurate stimulus coordinates, and pseudo-replication.</w:t>
      </w:r>
    </w:p>
    <w:p>
      <w:pPr>
        <w:pStyle w:val="ListBullet"/>
      </w:pPr>
      <w:r>
        <w:t>Configuration 2 path analysis is not validated for the current framing.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Use multiple independent plates; do not pool worms across plates as N.</w:t>
      </w:r>
    </w:p>
    <w:p>
      <w:pPr>
        <w:pStyle w:val="ListBullet"/>
      </w:pPr>
      <w:r>
        <w:t>Re-frame and reacquire if the question truly requires individual paths.</w:t>
      </w:r>
    </w:p>
    <w:p>
      <w:pPr>
        <w:pStyle w:val="Heading2"/>
      </w:pPr>
      <w:r>
        <w:t>Combine orientation plates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Ready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Perform circular statistics across independent plate resultants.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Two or more plate_resultant.csv files represent independent experimental units.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The tool combines plates rather than worms to prevent pseudo-replication.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Selected plate-resultant files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Define the independent replicates and groups entering the comparison.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The aggregator reads one resultant per plate and applies circular summaries/comparisons at the plate level.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Across-plate circular statistics and combined summaries.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Too few plates; mixing non-independent plates; inconsistent stimulus geometry or acquisition; pooling incompatible conditions.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Predefine exclusion rules at the plate level and retain each plate's original analysis folder.</w:t>
      </w:r>
    </w:p>
    <w:p>
      <w:pPr>
        <w:pStyle w:val="Heading1"/>
      </w:pPr>
      <w:r>
        <w:t>Part IV - Motor output: rhythmic programs</w:t>
      </w:r>
    </w:p>
    <w:p>
      <w:pPr>
        <w:pStyle w:val="Heading2"/>
      </w:pPr>
      <w:r>
        <w:t>Pharyngeal pumping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Ready; new detector requiring manual-count validation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Quantify reviewed pump events only during intervals in which the pharynx is visibly scoreable.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The pharynx/grinder is resolved and at least one relatively still, in-focus interval exists.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The user chooses a usable interval rather than allowing invisible frames to dilute the rate.</w:t>
      </w:r>
    </w:p>
    <w:p>
      <w:pPr>
        <w:pStyle w:val="ListBullet"/>
      </w:pPr>
      <w:r>
        <w:t>A close pharyngeal ROI localizes the motion source.</w:t>
      </w:r>
    </w:p>
    <w:p>
      <w:pPr>
        <w:pStyle w:val="ListBullet"/>
      </w:pPr>
      <w:r>
        <w:t>Tracking/focus/motion gates reject unusable frames, and the detection threshold remains reviewable.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FPS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Converts events and intervals to rate and time.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START/END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Defines the biologically visible scoring interval.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Oval pharyngeal ROI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Restricts motion measurement to the intended structure.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Detection-threshold slider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Lets the reviewer match peaks to visually resolved pumps.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The ROI is tracked through the approved interval. Excessive motion, weak tracking, poor focus, and insufficient contrast are excluded; candidate motion peaks are displayed for threshold review.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Approved interval; reviewed event times/signals; pump count; pumping rate; median interpump interval.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Head movement mimicking pumps; grinder out of focus; obstruction; low FPS; ROI drift; extending through unscoreable periods.</w:t>
      </w:r>
    </w:p>
    <w:p>
      <w:pPr>
        <w:pStyle w:val="ListBullet"/>
      </w:pPr>
      <w:r>
        <w:t>Automatic counts are not yet a substitute for manual validation.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Prefer 25-40 FPS and at least 30 seconds; analyze multiple visible intervals separately rather than bridging invisibility.</w:t>
      </w:r>
    </w:p>
    <w:p>
      <w:pPr>
        <w:pStyle w:val="Heading2"/>
      </w:pPr>
      <w:r>
        <w:t>Defecation cycle analysis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Experimental alpha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Propose and review posterior body contraction (pBoc) events and cycle cadence.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The posterior is visible for 1-3 seconds around events and the worm axis can be defined.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Motion is decomposed into axial versus dorsoventral components because pBoc is posterior axial motion toward the head followed by recovery.</w:t>
      </w:r>
    </w:p>
    <w:p>
      <w:pPr>
        <w:pStyle w:val="ListBullet"/>
      </w:pPr>
      <w:r>
        <w:t>Equivalent anterior motion argues against a specific posterior contraction.</w:t>
      </w:r>
    </w:p>
    <w:p>
      <w:pPr>
        <w:pStyle w:val="ListBullet"/>
      </w:pPr>
      <w:r>
        <w:t>Cycle-period limits order reviewer attention but never accept, reject, or establish a biological period.</w:t>
      </w:r>
    </w:p>
    <w:p>
      <w:pPr>
        <w:pStyle w:val="ListBullet"/>
      </w:pPr>
      <w:r>
        <w:t>Rhythm statistics are withheld until at least ten manually accepted cycles are followed continuously.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FPS, scale, exposure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Define temporal/physical resolution and blur.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Minimum/maximum plausible cycle period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Flag close candidates and long gaps for review; defaults 30-90 seconds.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Head and tail clicks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Define the axial direction and posterior region.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Manual event decisions/cycle limits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Establish the accepted event series.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The engine tracks posterior and anterior motion projected onto the body axis, proposes contraction-recovery patterns, and presents candidates plus cadence warnings.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Candidate/review tables and motion evidence. Period, IDI, and IDI CV remain unavailable until validation criteria are met.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Turns, whole-body translation, focus changes, incomplete recovery, tail occlusion, short recordings, and cadence-driven confirmation bias.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Treat cadence as a search aid only. Inspect the underlying motion around every proposed and missing event.</w:t>
      </w:r>
    </w:p>
    <w:p>
      <w:pPr>
        <w:pStyle w:val="Heading2"/>
      </w:pPr>
      <w:r>
        <w:t>Endpoint egg counting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Experimental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Count resolved eggs in a static image with scale-aware candidate detection and mandatory correction.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Eggs are spatially resolved and the image can be calibrated.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Expected egg dimensions are physical (approximately 50 x 30 um), so two-point calibration precedes detection.</w:t>
      </w:r>
    </w:p>
    <w:p>
      <w:pPr>
        <w:pStyle w:val="ListBullet"/>
      </w:pPr>
      <w:r>
        <w:t>Automatic candidates are never final; users can toggle false positives and add missed eggs.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Two-point scale calibration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Maps biological egg size to pixels.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Candidate settings/visual corrections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Adapt to contrast, overlap, genotype, developmental state, and debris.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The detector identifies objects compatible with calibrated egg size/shape, overlays candidates, and saves only after visual review.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Reviewed egg list/count, candidate evidence, calibration, and summary.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Overlapping eggs; embryos with atypical shape; debris of similar size; blur; uneven illumination; incorrect calibration; eggs at edges.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Use multiple focal planes or improved imaging when eggs overlap in depth; do not solve unresolved overlap by threshold tuning alone.</w:t>
      </w:r>
    </w:p>
    <w:p>
      <w:pPr>
        <w:pStyle w:val="Heading2"/>
      </w:pPr>
      <w:r>
        <w:t>Dynamic egg laying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Experimental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Detect and review when persistent new eggs appear during a recording.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Eggs remain visible after deposition and acquisition resolves their appearance over time.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Persistence distinguishes a newly laid egg from transient noise or a moving reflection.</w:t>
      </w:r>
    </w:p>
    <w:p>
      <w:pPr>
        <w:pStyle w:val="ListBullet"/>
      </w:pPr>
      <w:r>
        <w:t>Timing candidates require review because worm motion or occlusion can delay first visibility.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FPS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Sets timing precision.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Two-point scale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Constrains egg size.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Persistence and detection settings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Balance transient rejection against missed/occluded eggs.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Manual candidate timing review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Defines the accepted laying event.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Frame-to-frame candidates are linked as persistent new objects. Review overlays expose first detection and persistence before saving event times.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Frame QC, egg-object tracks, automatic candidates, reviewed event timing, and metadata.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Egg occluded at deposition; worm overlaps; drifting debris; illumination jumps; moving eggs; insufficient post-event duration; incorrect scale.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Interpret first visible frame as an observation bound when deposition itself is occluded.</w:t>
      </w:r>
    </w:p>
    <w:p>
      <w:pPr>
        <w:pStyle w:val="Heading1"/>
      </w:pPr>
      <w:r>
        <w:t>Part V - Physiology: calcium and cellular activity</w:t>
      </w:r>
    </w:p>
    <w:p>
      <w:pPr>
        <w:pStyle w:val="Heading2"/>
      </w:pPr>
      <w:r>
        <w:t>RGBCaMP extractor (Fiji)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Ready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Extract spatially registered blue, green, and red signals with body curvature and kinematics from a freely moving worm.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A multichannel recording contains the intended indicators and the worm can be tracked and segmented.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The moving body is divided into 24 hemisegments per side so fluorescence is interpreted in anatomical coordinates.</w:t>
      </w:r>
    </w:p>
    <w:p>
      <w:pPr>
        <w:pStyle w:val="ListBullet"/>
      </w:pPr>
      <w:r>
        <w:t>Eigenworm-constrained midlines reduce implausible geometry.</w:t>
      </w:r>
    </w:p>
    <w:p>
      <w:pPr>
        <w:pStyle w:val="ListBullet"/>
      </w:pPr>
      <w:r>
        <w:t>Extraction stops at raw, QC-rich data; normalization and inference remain downstream.</w:t>
      </w:r>
    </w:p>
    <w:p>
      <w:pPr>
        <w:pStyle w:val="ListBullet"/>
      </w:pPr>
      <w:r>
        <w:t>Channel roles are explicit: green cytoplasmic GCaMP, red mito RCaMP/pharynx mCherry, blue ER indicator.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Channel assignment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A wrong mapping changes the biological meaning of every signal.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Tracking/midline parameters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Adapt to visibility while preserving plausible anatomy.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Calibration and acquisition metadata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Determine spatial units and saturation/bit-depth interpretation.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The Fiji plugin tracks the worm in DIC, fits the midline, divides the body into hemisegments, and extracts channel intensities, ratios, derivatives, curvature, and movement with QC fields.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Per-frame, per-segment CSV used by RGBCaMP analysis.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8-bit compression; saturation; channel bleed-through; pharyngeal/head contamination; missing scale; coils; partial body; signal outside the mask.</w:t>
      </w:r>
    </w:p>
    <w:p>
      <w:pPr>
        <w:pStyle w:val="ListBullet"/>
      </w:pPr>
      <w:r>
        <w:t>Absolute intensity from compressed 8-bit sources is not fully quantitative.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Prefer raw high-bit-depth recordings. Preserve filename metadata grammar and inspect saturation/QC before downstream analysis.</w:t>
      </w:r>
    </w:p>
    <w:p>
      <w:pPr>
        <w:pStyle w:val="Heading2"/>
      </w:pPr>
      <w:r>
        <w:t>RGBCaMP analysis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Ready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Transform extraction CSVs into QC-aware relative fluorescence, spatial summaries, kinetics, coupling, and condition-level outputs.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One or more RGBCaMP extraction CSVs exist and the question concerns calcium dynamics or calcium-behavior coupling.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dF/F0 and ratios are emphasized for 8-bit sources; absolute resting intensities remain caveated.</w:t>
      </w:r>
    </w:p>
    <w:p>
      <w:pPr>
        <w:pStyle w:val="ListBullet"/>
      </w:pPr>
      <w:r>
        <w:t>Frames with coil/area/size/short-length/partial/low-evidence or outside-body leakage are rejected.</w:t>
      </w:r>
    </w:p>
    <w:p>
      <w:pPr>
        <w:pStyle w:val="ListBullet"/>
      </w:pPr>
      <w:r>
        <w:t>Self-approach is a curvature caveat rather than a whole-frame photometry rejection.</w:t>
      </w:r>
    </w:p>
    <w:p>
      <w:pPr>
        <w:pStyle w:val="ListBullet"/>
      </w:pPr>
      <w:r>
        <w:t>Red and green are masked in segments 0-7 where pharyngeal mCherry/head GFP contaminate myocytes 1-8; blue remains available.</w:t>
      </w:r>
    </w:p>
    <w:p>
      <w:pPr>
        <w:pStyle w:val="ListBullet"/>
      </w:pPr>
      <w:r>
        <w:t>Wave propagation uses phase gradients because adjacent delays are below one frame at low sampling rates.</w:t>
      </w:r>
    </w:p>
    <w:p>
      <w:pPr>
        <w:pStyle w:val="ListBullet"/>
      </w:pPr>
      <w:r>
        <w:t>The animal, not segment or transient, is the inferential unit.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Input CSV/folder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Defines one recording or batch.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Filename metadata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Encodes genotype, age, RNAi target, control, and flagged quality.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QC policy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Controls frame retention; changes must be reported.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Channel/region/metric selection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Matches the biological hypothesis and known contamination.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Grouping/statistical choices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Must respect animal-level replication.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The pipeline loads and QC-filters data, computes dF/F0 and ratios, summarizes reliable body regions, detects transients, estimates release/reuptake, coupling, intersignal timing, phase-gradient waves, and cycle averages.</w:t>
      </w:r>
    </w:p>
    <w:p>
      <w:r>
        <w:t>Condition statistics operate on per-worm summaries using nonparametric effect sizes and FDR; mixed models are the appropriate extension for nested datasets.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QC report; per-worm/segment summaries; kymographs; kinetics; region split; contraction state; coupling; wave propagation; cycle averages; condition statistics.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Saturation, 8-bit sources, incorrect channel mapping, filename metadata not parsing, missing scale, low coherence, decay fits at bounds, too few animals, and pseudoreplication.</w:t>
      </w:r>
    </w:p>
    <w:p>
      <w:pPr>
        <w:pStyle w:val="ListBullet"/>
      </w:pPr>
      <w:r>
        <w:t>Head-region green/red metrics are unreliable by design and masked.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Report phase-gradient speed only with meaningful coherence (approximately &gt;=0.5).</w:t>
      </w:r>
    </w:p>
    <w:p>
      <w:pPr>
        <w:pStyle w:val="ListBullet"/>
      </w:pPr>
      <w:r>
        <w:t>Treat decay constants pinned at the 20-second bound as rejected.</w:t>
      </w:r>
    </w:p>
    <w:p>
      <w:pPr>
        <w:pStyle w:val="ListBullet"/>
      </w:pPr>
      <w:r>
        <w:t>Rename future files consistently: genotype_day_RNAi_condition.csv.</w:t>
      </w:r>
    </w:p>
    <w:p>
      <w:pPr>
        <w:pStyle w:val="Heading2"/>
      </w:pPr>
      <w:r>
        <w:t>RGBCaMP browser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Ready; results viewer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Inspect recording-level calcium, kinematics, QC, and derived figures before comparison.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An RGBCaMP analysis folder exists.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Interactive inspection prevents summary statistics from hiding saturation, missing regions, rejected frames, or desynchronized signals.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Recording/result selection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Links views to the intended animal.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Channel/metric/segment view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Lets the scientist inspect the relevant biological signal.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The browser reads output tables and figures and organizes recording QC, timecourses, spatial patterns, and derived metrics.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Interactive review; no independent replication is created by exploring many segments.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Incomplete result folders; visual cherry-picking; ignoring QC warnings.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Define primary channels/regions before condition comparison.</w:t>
      </w:r>
    </w:p>
    <w:p>
      <w:pPr>
        <w:pStyle w:val="Heading2"/>
      </w:pPr>
      <w:r>
        <w:t>Neuron tracker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Ready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Track an anterior sensory neuron soma and the worm's body orientation through a movie.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The soma is visible and its position relative to the moving animal is the biological measurement.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The user marks several points inside the soma and outlines the worm because cell and body identity require anatomical supervision.</w:t>
      </w:r>
    </w:p>
    <w:p>
      <w:pPr>
        <w:pStyle w:val="ListBullet"/>
      </w:pPr>
      <w:r>
        <w:t>Neuron position is interpreted with body orientation, not as an image-space centroid alone.</w:t>
      </w:r>
    </w:p>
    <w:p>
      <w:pPr>
        <w:pStyle w:val="ListBullet"/>
      </w:pPr>
      <w:r>
        <w:t>Flagged frames can be manually repaired.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Soma clicks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Initialize cell size/location.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Worm outline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Establish body reference and orientation.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Tracking/QC corrections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Repair loss, ambiguity, or outline failure.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FPS, scale, exposure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Set temporal and physical interpretation.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The tracker follows the soma and worm mask, records provenance for automatic and corrected frames, and exports neuron/body geometry through time.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Neuron trajectory, body orientation, QC/provenance, and review views.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Cell disappears, neighboring fluorescent objects, photobleaching, body overlap, focus loss, ambiguous anterior anatomy, and outline clipping.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Use manual correction for isolated errors; reacquire when the soma is unresolved for extended periods.</w:t>
      </w:r>
    </w:p>
    <w:p>
      <w:pPr>
        <w:pStyle w:val="Heading2"/>
      </w:pPr>
      <w:r>
        <w:t>AFD_MTP (Fiji)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Ready; Fiji companion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Provide a Fiji implementation of anterior sensory-neuron/body tracking.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The scientist needs the established Fiji workflow or comparison with prior AFD_MTP analyses.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Maintaining a Fiji route supports legacy data and direct stack interaction; outputs should not be assumed identical to the Python tracker.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Fiji tracking parameters and manual corrections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Adapt cell/body tracking to the recording and plugin version.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The plugin tracks the fluorescent neuron and body reference in Fiji and exports its measurements.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Plugin-specific neuron/body tracking outputs.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Fiji/plugin version differences; gap handling; cell loss; competing objects; calibration errors.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Record the plugin version and avoid mixing implementations within an experiment without a parity study.</w:t>
      </w:r>
    </w:p>
    <w:p>
      <w:pPr>
        <w:pStyle w:val="Heading1"/>
      </w:pPr>
      <w:r>
        <w:t>Part VI - Anatomy and morphology</w:t>
      </w:r>
    </w:p>
    <w:p>
      <w:pPr>
        <w:pStyle w:val="Heading2"/>
      </w:pPr>
      <w:r>
        <w:t>Myocyte morphometry (Fiji)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Ready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Measure striated myocyte shape and actin-fiber waviness.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Fluorescence resolves myocyte boundaries/fibers and the question concerns structural degeneration.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Shape and fiber waviness are retained as interpretable features rather than collapsed immediately into one score.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ROI/segmentation thresholds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Adapt to fluorescence, magnification, and tissue quality.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Scale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Converts morphology to physical units.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The Fiji macro segments selected muscle structures and computes geometric and waviness measurements.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Per-object morphometry and visual segmentation evidence.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Uneven staining; saturation; out-of-focus fibers; overlapping structures; inconsistent ROI placement; threshold dependence.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Blind scorers to condition and use consistent anatomical sampling across animals.</w:t>
      </w:r>
    </w:p>
    <w:p>
      <w:pPr>
        <w:pStyle w:val="Heading2"/>
      </w:pPr>
      <w:r>
        <w:t>Nonstriated muscle degeneration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Experimental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Quantify tissue-specific structural features in pharyngeal, uterine, somatointestinal, or anal-depressor muscle.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A raw fluorescence image, calibration, tissue ROI, and anatomical orientation are available.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Separate tissue modes recognize different architectures and force directions.</w:t>
      </w:r>
    </w:p>
    <w:p>
      <w:pPr>
        <w:pStyle w:val="ListBullet"/>
      </w:pPr>
      <w:r>
        <w:t>The anal-depressor mode requires proximal attachment and distal insertion clicks and reports a force-vector angle in worm coordinates.</w:t>
      </w:r>
    </w:p>
    <w:p>
      <w:pPr>
        <w:pStyle w:val="ListBullet"/>
      </w:pPr>
      <w:r>
        <w:t>Orientation defaults may persist for convenience, but per-image provenance is exported.</w:t>
      </w:r>
    </w:p>
    <w:p>
      <w:pPr>
        <w:pStyle w:val="ListBullet"/>
      </w:pPr>
      <w:r>
        <w:t>The composite damage score is deliberately blank until WT, dystrophic, and rescue reference sets calibrate it.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Tissue mode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Selects biologically appropriate features and geometry.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Scale calibration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Converts dimensions to physical units.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Tissue ROI/segmentation controls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Define the anatomical structure and accommodate staining variation.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Body orientation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Defines worm coordinates and directional signs.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Attachment/insertion clicks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Define anal-depressor force-vector geometry.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The tool segments the chosen tissue inside a user-defined ROI, computes interpretable structural/geometric features, and saves an overlay plus acquisition/orientation provenance.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Segmentation overlay; tissue-specific morphology features; force-vector geometry where applicable; no uncalibrated composite damage score.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Wrong tissue mode; orientation reversal; saturated or uneven signal; incomplete ROI; ambiguous attachments; segmentation of background or adjacent tissue.</w:t>
      </w:r>
    </w:p>
    <w:p>
      <w:pPr>
        <w:pStyle w:val="ListBullet"/>
      </w:pPr>
      <w:r>
        <w:t>A future composite score could overfit if calibrated on too few reference animals.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Analyze raw component features until reference calibration is sufficiently broad; keep orientation evidence with every image.</w:t>
      </w:r>
    </w:p>
    <w:p>
      <w:pPr>
        <w:pStyle w:val="Heading1"/>
      </w:pPr>
      <w:r>
        <w:t>Part VII - Acquisition and utilities</w:t>
      </w:r>
    </w:p>
    <w:p>
      <w:pPr>
        <w:pStyle w:val="Heading2"/>
      </w:pPr>
      <w:r>
        <w:t>Probe a movie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Ready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Determine what a source file or image sequence contains and whether its technical properties suit behavioral or fluorescence analysis.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The format, frame count, dimensions, codec, bit depth, or metadata are uncertain.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A preflight tool prevents silent analysis of the wrong temporal or intensity representation.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Selected video/stack/folder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Defines the source to inspect.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The probe reads the container or image sequence and reports accessible acquisition/format properties without altering the source.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Human-readable technical report used to plan conversion or analysis.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Missing container metadata; variable frame rate; codec libraries; a file reporting nominal FPS that differs from effective timestamps.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Verify critical acquisition settings against microscope/camera records, not the container alone.</w:t>
      </w:r>
    </w:p>
    <w:p>
      <w:pPr>
        <w:pStyle w:val="Heading2"/>
      </w:pPr>
      <w:r>
        <w:t>Convert for Fiji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Ready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Create a clean Fiji-readable TIFF stack from a movie or image source.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Fiji cannot open the source reliably or a standardized stack is needed.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Conversion is treated as a derivative, not a replacement for raw data.</w:t>
      </w:r>
    </w:p>
    <w:p>
      <w:pPr>
        <w:pStyle w:val="ListBullet"/>
      </w:pPr>
      <w:r>
        <w:t>Optional trimming, frame stepping, and spatial scaling are exposed because file size and temporal/spatial resolution trade off against biological resolvability.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Start/stop frame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Trim to the relevant interval without changing source.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Frame step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Reduce temporal density; this also reduces resolvable frequency.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Spatial scale percent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Reduce size; this also reduces anatomical detail.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Output destination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Keeps the derivative separate from raw data.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The converter decodes frames, applies requested sampling/scaling, and writes a clean TIFF stack.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Converted stack and conversion summary.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Loss of temporal resolution from stepping; loss of spatial detail from scaling; altered bit depth; codec decode differences; large output files.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Never downsample before deciding the fastest biological event and smallest structure that must remain resolvable.</w:t>
      </w:r>
    </w:p>
    <w:p>
      <w:pPr>
        <w:pStyle w:val="Heading2"/>
      </w:pPr>
      <w:r>
        <w:t>Install AGVGLab Fiji menu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Status: </w:t>
      </w:r>
      <w:r>
        <w:t>Ready utility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Biological aim: </w:t>
      </w:r>
      <w:r>
        <w:t>Install the lab's Fiji tools into a consistent Plugins &gt; AGVGLab menu.</w:t>
      </w:r>
    </w:p>
    <w:p>
      <w:pPr>
        <w:keepNext/>
      </w:pPr>
      <w:r>
        <w:rPr>
          <w:rFonts w:ascii="Calibri" w:hAnsi="Calibri"/>
          <w:b/>
          <w:color w:val="1F4D78"/>
        </w:rPr>
        <w:t xml:space="preserve">Use it when: </w:t>
      </w:r>
      <w:r>
        <w:t>A lab computer needs the Fiji integrations installed or refreshed.</w:t>
      </w:r>
    </w:p>
    <w:p>
      <w:pPr>
        <w:pStyle w:val="Heading3"/>
      </w:pPr>
      <w:r>
        <w:t>Biology-driven design decisions</w:t>
      </w:r>
    </w:p>
    <w:p>
      <w:pPr>
        <w:pStyle w:val="ListBullet"/>
      </w:pPr>
      <w:r>
        <w:t>Centralized menu installation reduces student dependence on dragging scripts and improves version consistency.</w:t>
      </w:r>
    </w:p>
    <w:p>
      <w:pPr>
        <w:pStyle w:val="Heading3"/>
      </w:pPr>
      <w:r>
        <w:t>User-adjustable variables and why they exist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 or choice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Why it is exposed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8"/>
              </w:rPr>
              <w:t>Fiji installation location</w:t>
            </w:r>
          </w:p>
        </w:tc>
        <w:tc>
          <w:tcPr>
            <w:tcW w:type="dxa" w:w="6360"/>
          </w:tcPr>
          <w:p>
            <w:r>
              <w:rPr>
                <w:rFonts w:ascii="Calibri" w:hAnsi="Calibri"/>
                <w:sz w:val="18"/>
              </w:rPr>
              <w:t>Targets the correct local Fiji instance.</w:t>
            </w:r>
          </w:p>
        </w:tc>
      </w:tr>
    </w:tbl>
    <w:p>
      <w:pPr>
        <w:pStyle w:val="Heading3"/>
      </w:pPr>
      <w:r>
        <w:t>How the tool accomplishes the measurement</w:t>
      </w:r>
    </w:p>
    <w:p>
      <w:r>
        <w:t>The installer copies/registers the supplied Fiji tools into the expected menu structure.</w:t>
      </w:r>
    </w:p>
    <w:p>
      <w:pPr>
        <w:pStyle w:val="Heading3"/>
      </w:pPr>
      <w:r>
        <w:t>Outputs and interpretation</w:t>
      </w:r>
    </w:p>
    <w:p>
      <w:pPr>
        <w:pStyle w:val="ListBullet"/>
      </w:pPr>
      <w:r>
        <w:t>Installed menu entries; no biological measurements.</w:t>
      </w:r>
    </w:p>
    <w:p>
      <w:pPr>
        <w:pStyle w:val="Heading3"/>
      </w:pPr>
      <w:r>
        <w:t>Known failure modes and cautions</w:t>
      </w:r>
    </w:p>
    <w:p>
      <w:pPr>
        <w:pStyle w:val="ListBullet"/>
      </w:pPr>
      <w:r>
        <w:t>Multiple Fiji installations; permissions; stale older plugins; Java/ImageJ version differences.</w:t>
      </w:r>
    </w:p>
    <w:p>
      <w:pPr>
        <w:pStyle w:val="Heading3"/>
      </w:pPr>
      <w:r>
        <w:t>Special-case tuning</w:t>
      </w:r>
    </w:p>
    <w:p>
      <w:pPr>
        <w:pStyle w:val="ListBullet"/>
      </w:pPr>
      <w:r>
        <w:t>After an update, confirm which Fiji executable the Hub uses and archive the plugin version with results.</w:t>
      </w:r>
    </w:p>
    <w:p>
      <w:pPr>
        <w:pStyle w:val="Heading1"/>
      </w:pPr>
      <w:r>
        <w:t>Part VIII - Validation, statistics, troubleshooting, and maintenance</w:t>
      </w:r>
    </w:p>
    <w:p>
      <w:pPr>
        <w:pStyle w:val="Heading2"/>
      </w:pPr>
      <w:r>
        <w:t>Validation levels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Level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Meaning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Permitted claim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/>
                <w:sz w:val="18"/>
              </w:rPr>
              <w:t>Computational regression</w:t>
            </w:r>
          </w:p>
        </w:tc>
        <w:tc>
          <w:tcPr>
            <w:tcW w:type="dxa" w:w="4100"/>
          </w:tcPr>
          <w:p>
            <w:r>
              <w:rPr>
                <w:rFonts w:ascii="Calibri" w:hAnsi="Calibri"/>
                <w:sz w:val="18"/>
              </w:rPr>
              <w:t>Known synthetic or fixture input produces expected software output</w:t>
            </w:r>
          </w:p>
        </w:tc>
        <w:tc>
          <w:tcPr>
            <w:tcW w:type="dxa" w:w="3560"/>
          </w:tcPr>
          <w:p>
            <w:r>
              <w:rPr>
                <w:rFonts w:ascii="Calibri" w:hAnsi="Calibri"/>
                <w:sz w:val="18"/>
              </w:rPr>
              <w:t>The implementation behaves as tested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/>
                <w:sz w:val="18"/>
              </w:rPr>
              <w:t>Technical validation</w:t>
            </w:r>
          </w:p>
        </w:tc>
        <w:tc>
          <w:tcPr>
            <w:tcW w:type="dxa" w:w="4100"/>
          </w:tcPr>
          <w:p>
            <w:r>
              <w:rPr>
                <w:rFonts w:ascii="Calibri" w:hAnsi="Calibri"/>
                <w:sz w:val="18"/>
              </w:rPr>
              <w:t>Agreement with manual scoring or a reference method across representative recordings</w:t>
            </w:r>
          </w:p>
        </w:tc>
        <w:tc>
          <w:tcPr>
            <w:tcW w:type="dxa" w:w="3560"/>
          </w:tcPr>
          <w:p>
            <w:r>
              <w:rPr>
                <w:rFonts w:ascii="Calibri" w:hAnsi="Calibri"/>
                <w:sz w:val="18"/>
              </w:rPr>
              <w:t>The measurement is technically credible under tested conditions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/>
                <w:sz w:val="18"/>
              </w:rPr>
              <w:t>Biological validation</w:t>
            </w:r>
          </w:p>
        </w:tc>
        <w:tc>
          <w:tcPr>
            <w:tcW w:type="dxa" w:w="4100"/>
          </w:tcPr>
          <w:p>
            <w:r>
              <w:rPr>
                <w:rFonts w:ascii="Calibri" w:hAnsi="Calibri"/>
                <w:sz w:val="18"/>
              </w:rPr>
              <w:t>Expected and novel phenotypes are evaluated across animals, conditions, and confounds</w:t>
            </w:r>
          </w:p>
        </w:tc>
        <w:tc>
          <w:tcPr>
            <w:tcW w:type="dxa" w:w="3560"/>
          </w:tcPr>
          <w:p>
            <w:r>
              <w:rPr>
                <w:rFonts w:ascii="Calibri" w:hAnsi="Calibri"/>
                <w:sz w:val="18"/>
              </w:rPr>
              <w:t>The readout supports biological inference in the validated domain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/>
                <w:sz w:val="18"/>
              </w:rPr>
              <w:t>Publication use</w:t>
            </w:r>
          </w:p>
        </w:tc>
        <w:tc>
          <w:tcPr>
            <w:tcW w:type="dxa" w:w="4100"/>
          </w:tcPr>
          <w:p>
            <w:r>
              <w:rPr>
                <w:rFonts w:ascii="Calibri" w:hAnsi="Calibri"/>
                <w:sz w:val="18"/>
              </w:rPr>
              <w:t>Methods, QC, exclusions, replication, and version are fully reported</w:t>
            </w:r>
          </w:p>
        </w:tc>
        <w:tc>
          <w:tcPr>
            <w:tcW w:type="dxa" w:w="3560"/>
          </w:tcPr>
          <w:p>
            <w:r>
              <w:rPr>
                <w:rFonts w:ascii="Calibri" w:hAnsi="Calibri"/>
                <w:sz w:val="18"/>
              </w:rPr>
              <w:t>Results are reproducible and interpretable by others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/>
                <w:b/>
                <w:color w:val="990000"/>
                <w:sz w:val="20"/>
              </w:rPr>
              <w:t xml:space="preserve">Experimental label  </w:t>
            </w:r>
            <w:r>
              <w:rPr>
                <w:rFonts w:ascii="Calibri" w:hAnsi="Calibri"/>
                <w:sz w:val="20"/>
              </w:rPr>
              <w:t>An experimental tool may be useful and regression-tested while still lacking broad technical or biological validation. The label is a scientific boundary, not a cosmetic warning.</w:t>
            </w:r>
          </w:p>
        </w:tc>
      </w:tr>
    </w:tbl>
    <w:p>
      <w:pPr>
        <w:spacing w:after="0"/>
      </w:pPr>
    </w:p>
    <w:p>
      <w:pPr>
        <w:pStyle w:val="Heading2"/>
      </w:pPr>
      <w:r>
        <w:t>Correct units of inference</w:t>
      </w:r>
    </w:p>
    <w:p>
      <w:pPr>
        <w:pStyle w:val="ListBullet"/>
      </w:pPr>
      <w:r>
        <w:t>One worm remains one animal even when it contributes many frames, segments, transients, or lawn encounters.</w:t>
      </w:r>
    </w:p>
    <w:p>
      <w:pPr>
        <w:pStyle w:val="ListBullet"/>
      </w:pPr>
      <w:r>
        <w:t>One plate remains one independent orientation assay even when it contains many worms.</w:t>
      </w:r>
    </w:p>
    <w:p>
      <w:pPr>
        <w:pStyle w:val="ListBullet"/>
      </w:pPr>
      <w:r>
        <w:t>Repeated events require paired, repeated-measures, hierarchical, or mixed-effects analysis.</w:t>
      </w:r>
    </w:p>
    <w:p>
      <w:pPr>
        <w:pStyle w:val="ListBullet"/>
      </w:pPr>
      <w:r>
        <w:t>Technical repeats and reanalyses of one recording do not increase biological N.</w:t>
      </w:r>
    </w:p>
    <w:p>
      <w:pPr>
        <w:pStyle w:val="ListBullet"/>
      </w:pPr>
      <w:r>
        <w:t>Report exclusions and uncertain fractions by condition; QC itself can reveal a phenotype or acquisition bias.</w:t>
      </w:r>
    </w:p>
    <w:p>
      <w:pPr>
        <w:pStyle w:val="Heading2"/>
      </w:pPr>
      <w:r>
        <w:t>General troubleshooting sequence</w:t>
      </w:r>
    </w:p>
    <w:p>
      <w:pPr>
        <w:pStyle w:val="ListNumber"/>
      </w:pPr>
      <w:r>
        <w:t>Confirm the source: correct file, frame order, channels, FPS, scale, exposure, and bit depth.</w:t>
      </w:r>
    </w:p>
    <w:p>
      <w:pPr>
        <w:pStyle w:val="ListNumber"/>
      </w:pPr>
      <w:r>
        <w:t>Inspect raw frames before changing thresholds.</w:t>
      </w:r>
    </w:p>
    <w:p>
      <w:pPr>
        <w:pStyle w:val="ListNumber"/>
      </w:pPr>
      <w:r>
        <w:t>Check whether the biological feature is visibly resolvable.</w:t>
      </w:r>
    </w:p>
    <w:p>
      <w:pPr>
        <w:pStyle w:val="ListNumber"/>
      </w:pPr>
      <w:r>
        <w:t>Inspect segmentation/midline/track/ROI overlays.</w:t>
      </w:r>
    </w:p>
    <w:p>
      <w:pPr>
        <w:pStyle w:val="ListNumber"/>
      </w:pPr>
      <w:r>
        <w:t>Identify whether failure is detection, identity, anatomy, timing, calibration, or inference.</w:t>
      </w:r>
    </w:p>
    <w:p>
      <w:pPr>
        <w:pStyle w:val="ListNumber"/>
      </w:pPr>
      <w:r>
        <w:t>Change one exposed variable at a time and save the changed metadata.</w:t>
      </w:r>
    </w:p>
    <w:p>
      <w:pPr>
        <w:pStyle w:val="ListNumber"/>
      </w:pPr>
      <w:r>
        <w:t>Re-run a known control or fixture after modifying code or defaults.</w:t>
      </w:r>
    </w:p>
    <w:p>
      <w:pPr>
        <w:pStyle w:val="ListNumber"/>
      </w:pPr>
      <w:r>
        <w:t>If the needed evidence is absent, reacquire rather than tuning indefinitely.</w:t>
      </w:r>
    </w:p>
    <w:p>
      <w:pPr>
        <w:pStyle w:val="Heading2"/>
      </w:pPr>
      <w:r>
        <w:t>Minimum methods reporting</w:t>
      </w:r>
    </w:p>
    <w:p>
      <w:pPr>
        <w:pStyle w:val="ListBullet"/>
      </w:pPr>
      <w:r>
        <w:t>Lab Tools installer/manual version and tool name/status.</w:t>
      </w:r>
    </w:p>
    <w:p>
      <w:pPr>
        <w:pStyle w:val="ListBullet"/>
      </w:pPr>
      <w:r>
        <w:t>Biological preparation, strain, age, condition, temperature, assay geometry, and experimental unit.</w:t>
      </w:r>
    </w:p>
    <w:p>
      <w:pPr>
        <w:pStyle w:val="ListBullet"/>
      </w:pPr>
      <w:r>
        <w:t>Microscope/camera, objective, FPS, scale, exposure, bit depth, compression, and recording duration.</w:t>
      </w:r>
    </w:p>
    <w:p>
      <w:pPr>
        <w:pStyle w:val="ListBullet"/>
      </w:pPr>
      <w:r>
        <w:t>All non-default thresholds, windows, buffers, modes, ROIs, anatomical orientation, and exclusion rules.</w:t>
      </w:r>
    </w:p>
    <w:p>
      <w:pPr>
        <w:pStyle w:val="ListBullet"/>
      </w:pPr>
      <w:r>
        <w:t>Automated candidate count, reviewed accepted/rejected/uncertain count, and QC retention.</w:t>
      </w:r>
    </w:p>
    <w:p>
      <w:pPr>
        <w:pStyle w:val="ListBullet"/>
      </w:pPr>
      <w:r>
        <w:t>Definition of every primary metric and the statistical model at the correct unit of inference.</w:t>
      </w:r>
    </w:p>
    <w:p>
      <w:pPr>
        <w:pStyle w:val="Heading2"/>
      </w:pPr>
      <w:r>
        <w:t>Maintaining this manual as tools evolve</w:t>
      </w:r>
    </w:p>
    <w:p>
      <w:pPr>
        <w:pStyle w:val="ListNumber"/>
      </w:pPr>
      <w:r>
        <w:t>Give every release a version and date.</w:t>
      </w:r>
    </w:p>
    <w:p>
      <w:pPr>
        <w:pStyle w:val="ListNumber"/>
      </w:pPr>
      <w:r>
        <w:t>Update the Hub registry description and entry requirements.</w:t>
      </w:r>
    </w:p>
    <w:p>
      <w:pPr>
        <w:pStyle w:val="ListNumber"/>
      </w:pPr>
      <w:r>
        <w:t>Update the tool chapter's biological aim and 'use when' boundary.</w:t>
      </w:r>
    </w:p>
    <w:p>
      <w:pPr>
        <w:pStyle w:val="ListNumber"/>
      </w:pPr>
      <w:r>
        <w:t>Record any algorithmic decision that changes what can be detected or compared.</w:t>
      </w:r>
    </w:p>
    <w:p>
      <w:pPr>
        <w:pStyle w:val="ListNumber"/>
      </w:pPr>
      <w:r>
        <w:t>Document every new user-adjustable variable and why it cannot be fixed universally.</w:t>
      </w:r>
    </w:p>
    <w:p>
      <w:pPr>
        <w:pStyle w:val="ListNumber"/>
      </w:pPr>
      <w:r>
        <w:t>Update outputs, provenance fields, known failure modes, validation status, and regression tests.</w:t>
      </w:r>
    </w:p>
    <w:p>
      <w:pPr>
        <w:pStyle w:val="ListNumber"/>
      </w:pPr>
      <w:r>
        <w:t>Render and visually inspect the revised manual before distribution.</w:t>
      </w:r>
    </w:p>
    <w:p>
      <w:pPr>
        <w:pStyle w:val="Heading2"/>
      </w:pPr>
      <w:r>
        <w:t>Glossary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Term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Meaning in this ecosystem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Candidate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8"/>
              </w:rPr>
              <w:t>An automated proposal awaiting QC or human review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Reviewed result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8"/>
              </w:rPr>
              <w:t>A candidate set altered or accepted by an identified review workflow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ROI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8"/>
              </w:rPr>
              <w:t>Saved spatial geometry that defines or filters the biological field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Provenance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8"/>
              </w:rPr>
              <w:t>Acquisition, settings, software version, and manual decisions needed to reconstruct a result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Coverage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8"/>
              </w:rPr>
              <w:t>The fraction/duration of data that supports a measurement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Tracklet stitch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8"/>
              </w:rPr>
              <w:t>An auditable inferred continuation across a short detection gap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Uncertain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8"/>
              </w:rPr>
              <w:t>Evidence is insufficient or conflicting; not a fourth biological behavior by default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Experimental tool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8"/>
              </w:rPr>
              <w:t>Implemented and testable, but not yet broadly validated for unattended biological inference</w:t>
            </w:r>
          </w:p>
        </w:tc>
      </w:tr>
    </w:tbl>
    <w:p>
      <w:pPr>
        <w:pStyle w:val="Heading2"/>
      </w:pPr>
      <w:r>
        <w:t>Source-of-truth note</w:t>
      </w:r>
    </w:p>
    <w:p>
      <w:r>
        <w:t>This manual describes the staged Lab Hub v9 registry and implementation snapshot. Where a user interface, exported metadata file, or current source code differs from this manual, pause the analysis and reconcile the software/manual versions before interpreting results.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5A5A"/>
        <w:sz w:val="17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A5A5A"/>
        <w:sz w:val="17"/>
      </w:rPr>
      <w:t>AGVG LAB TOOLS  |  BIOLOGY-FIRST USER AND METHODS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AGVG Lab Tools: Biology-First User and Methods Manual</dc:title>
  <dc:subject>Ultimate manual for the Vidal-Gadea Lab C. elegans analysis ecosystem</dc:subject>
  <dc:creator>Vidal-Gadea Lab</dc:creator>
  <cp:keywords>C. elegans, behavior, kinematics, calcium, morphology, Lab Hub</cp:keywords>
  <dc:description>Living manual; software snapshot v9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