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关于开展专项行动的通知</w:t>
      </w:r>
    </w:p>
    <w:p>
      <w:r>
        <w:t>（本文件为测试数据）</w:t>
      </w:r>
    </w:p>
    <w:p>
      <w:pPr>
        <w:pStyle w:val="Heading2"/>
      </w:pPr>
      <w:r>
        <w:t>一、总体要求</w:t>
      </w:r>
    </w:p>
    <w:p>
      <w:r>
        <w:t>各部门要按照统一部署，压实责任、细化措施，确保各项任务落地见效。</w:t>
      </w:r>
    </w:p>
    <w:p>
      <w:pPr>
        <w:pStyle w:val="Heading2"/>
      </w:pPr>
      <w:r>
        <w:t>二、时间安排</w:t>
      </w:r>
    </w:p>
    <w:p>
      <w:r>
        <w:t>自即日起至本月底为集中推进阶段，下月初开展检查验收。</w:t>
      </w:r>
    </w:p>
    <w:p>
      <w:pPr>
        <w:pStyle w:val="Heading2"/>
      </w:pPr>
      <w:r>
        <w:t>三、工作要求</w:t>
      </w:r>
    </w:p>
    <w:p>
      <w:r>
        <w:t>1. 明确专人负责，建立台账；</w:t>
      </w:r>
    </w:p>
    <w:p>
      <w:r>
        <w:t>2. 每周五前报送进展；</w:t>
      </w:r>
    </w:p>
    <w:p>
      <w:r>
        <w:t>3. 遇重大问题及时报告。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责任部门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完成时限</w:t>
            </w:r>
          </w:p>
        </w:tc>
      </w:tr>
      <w:tr>
        <w:tc>
          <w:tcPr>
            <w:tcW w:type="dxa" w:w="2880"/>
          </w:tcPr>
          <w:p>
            <w:r>
              <w:t>一大队</w:t>
            </w:r>
          </w:p>
        </w:tc>
        <w:tc>
          <w:tcPr>
            <w:tcW w:type="dxa" w:w="2880"/>
          </w:tcPr>
          <w:p>
            <w:r>
              <w:t>张伟</w:t>
            </w:r>
          </w:p>
        </w:tc>
        <w:tc>
          <w:tcPr>
            <w:tcW w:type="dxa" w:w="2880"/>
          </w:tcPr>
          <w:p>
            <w:r>
              <w:t>本月底</w:t>
            </w:r>
          </w:p>
        </w:tc>
      </w:tr>
      <w:tr>
        <w:tc>
          <w:tcPr>
            <w:tcW w:type="dxa" w:w="2880"/>
          </w:tcPr>
          <w:p>
            <w:r>
              <w:t>二大队</w:t>
            </w:r>
          </w:p>
        </w:tc>
        <w:tc>
          <w:tcPr>
            <w:tcW w:type="dxa" w:w="2880"/>
          </w:tcPr>
          <w:p>
            <w:r>
              <w:t>赵敏</w:t>
            </w:r>
          </w:p>
        </w:tc>
        <w:tc>
          <w:tcPr>
            <w:tcW w:type="dxa" w:w="2880"/>
          </w:tcPr>
          <w:p>
            <w:r>
              <w:t>本月底</w:t>
            </w:r>
          </w:p>
        </w:tc>
      </w:tr>
      <w:tr>
        <w:tc>
          <w:tcPr>
            <w:tcW w:type="dxa" w:w="2880"/>
          </w:tcPr>
          <w:p>
            <w:r>
              <w:t>综合科</w:t>
            </w:r>
          </w:p>
        </w:tc>
        <w:tc>
          <w:tcPr>
            <w:tcW w:type="dxa" w:w="2880"/>
          </w:tcPr>
          <w:p>
            <w:r>
              <w:t>施磊</w:t>
            </w:r>
          </w:p>
        </w:tc>
        <w:tc>
          <w:tcPr>
            <w:tcW w:type="dxa" w:w="2880"/>
          </w:tcPr>
          <w:p>
            <w:r>
              <w:t>下月初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