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936"/>
      </w:tblGrid>
      <w:tr>
        <w:tc>
          <w:tcPr>
            <w:tcW w:type="dxa" w:w="5184"/>
            <w:shd w:fill="E0E7FF"/>
            <w:tcMar>
              <w:top w:w="60" w:type="dxa"/>
              <w:bottom w:w="60" w:type="dxa"/>
              <w:left w:w="120" w:type="dxa"/>
              <w:right w:w="120" w:type="dxa"/>
            </w:tcMar>
            <w:tcBorders>
              <w:top w:val="single" w:sz="6" w:space="0" w:color="C7D2FE"/>
              <w:left w:val="single" w:sz="6" w:space="0" w:color="C7D2FE"/>
              <w:bottom w:val="single" w:sz="6" w:space="0" w:color="C7D2FE"/>
              <w:right w:val="single" w:sz="6" w:space="0" w:color="C7D2FE"/>
            </w:tcBorders>
          </w:tcPr>
          <w:p>
            <w:pPr>
              <w:spacing w:before="0" w:after="0"/>
            </w:pPr>
            <w:r>
              <w:rPr>
                <w:rFonts w:ascii="Segoe UI" w:hAnsi="Segoe UI"/>
                <w:b/>
                <w:color w:val="312E81"/>
                <w:sz w:val="17"/>
              </w:rPr>
              <w:t>MACHINE LEARNING PRACTICAL • SL PR3</w:t>
            </w:r>
          </w:p>
        </w:tc>
      </w:tr>
    </w:tbl>
    <w:p>
      <w:pPr>
        <w:spacing w:after="40"/>
      </w:pPr>
    </w:p>
    <w:p>
      <w:pPr>
        <w:spacing w:before="80" w:after="160"/>
      </w:pPr>
      <w:r>
        <w:rPr>
          <w:rFonts w:ascii="Segoe UI" w:hAnsi="Segoe UI"/>
          <w:b/>
          <w:color w:val="1E3A8A"/>
          <w:sz w:val="44"/>
        </w:rPr>
        <w:t>Risk Alert Classifier Analysis &amp; Report</w:t>
      </w:r>
    </w:p>
    <w:p>
      <w:pPr>
        <w:pBdr>
          <w:bottom w:val="single" w:sz="18" w:space="8" w:color="1E3A8A"/>
        </w:pBdr>
        <w:spacing w:after="280"/>
      </w:pPr>
    </w:p>
    <w:p>
      <w:pPr>
        <w:spacing w:before="120" w:after="200"/>
      </w:pPr>
      <w:r>
        <w:rPr>
          <w:rFonts w:ascii="Segoe UI" w:hAnsi="Segoe UI"/>
          <w:b/>
          <w:color w:val="1E3A8A"/>
          <w:sz w:val="28"/>
        </w:rPr>
        <w:t>PART A: CONCEPTUAL UNDERSTANDING (THEORY)</w:t>
      </w:r>
    </w:p>
    <w:tbl>
      <w:tblPr>
        <w:tblW w:type="auto" w:w="0"/>
        <w:jc w:val="center"/>
        <w:tblLook w:firstColumn="1" w:firstRow="1" w:lastColumn="0" w:lastRow="0" w:noHBand="0" w:noVBand="1" w:val="04A0"/>
      </w:tblPr>
      <w:tblGrid>
        <w:gridCol w:w="9936"/>
      </w:tblGrid>
      <w:tr>
        <w:tc>
          <w:tcPr>
            <w:tcW w:type="dxa" w:w="9792"/>
            <w:shd w:fill="F8FAFC"/>
            <w:tcBorders>
              <w:top w:val="none"/>
              <w:left w:val="single" w:sz="28" w:space="0" w:color="2563EB"/>
              <w:bottom w:val="none"/>
              <w:right w:val="none"/>
            </w:tcBorders>
            <w:tcMar>
              <w:top w:w="140" w:type="dxa"/>
              <w:bottom w:w="160" w:type="dxa"/>
              <w:left w:w="220" w:type="dxa"/>
              <w:right w:w="200" w:type="dxa"/>
            </w:tcMar>
          </w:tcPr>
          <w:p>
            <w:pPr>
              <w:spacing w:before="0" w:after="120"/>
            </w:pPr>
            <w:r>
              <w:rPr>
                <w:rFonts w:ascii="Segoe UI" w:hAnsi="Segoe UI"/>
                <w:b/>
                <w:color w:val="2563EB"/>
                <w:sz w:val="19"/>
              </w:rPr>
              <w:t xml:space="preserve">QUESTION 01  •  </w:t>
            </w:r>
            <w:r>
              <w:rPr>
                <w:rFonts w:ascii="Segoe UI" w:hAnsi="Segoe UI"/>
                <w:b/>
                <w:color w:val="1E293B"/>
                <w:sz w:val="23"/>
              </w:rPr>
              <w:t>What is Logistic Regression and why is it suitable for classification?</w:t>
            </w:r>
          </w:p>
          <w:p>
            <w:pPr>
              <w:spacing w:before="40" w:after="160" w:line="288" w:lineRule="auto"/>
            </w:pPr>
            <w:r>
              <w:rPr>
                <w:rFonts w:ascii="Segoe UI" w:hAnsi="Segoe UI"/>
                <w:b/>
                <w:color w:val="1E3A8A"/>
                <w:sz w:val="21"/>
              </w:rPr>
              <w:t xml:space="preserve">Answer: </w:t>
            </w:r>
            <w:r>
              <w:rPr>
                <w:rFonts w:ascii="Segoe UI" w:hAnsi="Segoe UI"/>
                <w:color w:val="1E293B"/>
                <w:sz w:val="21"/>
              </w:rPr>
              <w:t>Logistic Regression is a supervised machine learning algorithm used to predict categorical outcomes (such as Yes/No or 0/1). It is suitable for classification because it uses the Sigmoid (logistic) function to squeeze any continuous input value into a probability score between 0 and 1, which can then be cleanly mapped to distinct class labels based on a selected decision threshold.</w:t>
            </w:r>
          </w:p>
          <w:p>
            <w:pPr>
              <w:spacing w:before="160" w:after="60"/>
              <w:jc w:val="center"/>
            </w:pPr>
            <w:r>
              <w:drawing>
                <wp:inline xmlns:a="http://schemas.openxmlformats.org/drawingml/2006/main" xmlns:pic="http://schemas.openxmlformats.org/drawingml/2006/picture">
                  <wp:extent cx="5120640" cy="2858032"/>
                  <wp:docPr id="1" name="Picture 1"/>
                  <wp:cNvGraphicFramePr>
                    <a:graphicFrameLocks noChangeAspect="1"/>
                  </wp:cNvGraphicFramePr>
                  <a:graphic>
                    <a:graphicData uri="http://schemas.openxmlformats.org/drawingml/2006/picture">
                      <pic:pic>
                        <pic:nvPicPr>
                          <pic:cNvPr id="0" name="logistic_regression_diagram_1791373332727.jpg"/>
                          <pic:cNvPicPr/>
                        </pic:nvPicPr>
                        <pic:blipFill>
                          <a:blip r:embed="rId9"/>
                          <a:stretch>
                            <a:fillRect/>
                          </a:stretch>
                        </pic:blipFill>
                        <pic:spPr>
                          <a:xfrm>
                            <a:off x="0" y="0"/>
                            <a:ext cx="5120640" cy="2858032"/>
                          </a:xfrm>
                          <a:prstGeom prst="rect"/>
                        </pic:spPr>
                      </pic:pic>
                    </a:graphicData>
                  </a:graphic>
                </wp:inline>
              </w:drawing>
            </w:r>
          </w:p>
          <w:p>
            <w:pPr>
              <w:spacing w:before="0" w:after="80"/>
              <w:jc w:val="center"/>
            </w:pPr>
            <w:r>
              <w:rPr>
                <w:rFonts w:ascii="Segoe UI" w:hAnsi="Segoe UI"/>
                <w:i/>
                <w:color w:val="64748B"/>
                <w:sz w:val="17"/>
              </w:rPr>
              <w:t>Figure 1: Logistic Regression Sigmoid Curve and Decision Threshold Mapping</w:t>
            </w:r>
          </w:p>
        </w:tc>
      </w:tr>
    </w:tbl>
    <w:p>
      <w:pPr>
        <w:spacing w:before="0" w:after="160"/>
      </w:pPr>
    </w:p>
    <w:tbl>
      <w:tblPr>
        <w:tblW w:type="auto" w:w="0"/>
        <w:jc w:val="center"/>
        <w:tblLook w:firstColumn="1" w:firstRow="1" w:lastColumn="0" w:lastRow="0" w:noHBand="0" w:noVBand="1" w:val="04A0"/>
      </w:tblPr>
      <w:tblGrid>
        <w:gridCol w:w="9936"/>
      </w:tblGrid>
      <w:tr>
        <w:tc>
          <w:tcPr>
            <w:tcW w:type="dxa" w:w="9792"/>
            <w:shd w:fill="F8FAFC"/>
            <w:tcBorders>
              <w:top w:val="none"/>
              <w:left w:val="single" w:sz="28" w:space="0" w:color="2563EB"/>
              <w:bottom w:val="none"/>
              <w:right w:val="none"/>
            </w:tcBorders>
            <w:tcMar>
              <w:top w:w="140" w:type="dxa"/>
              <w:bottom w:w="160" w:type="dxa"/>
              <w:left w:w="220" w:type="dxa"/>
              <w:right w:w="200" w:type="dxa"/>
            </w:tcMar>
          </w:tcPr>
          <w:p>
            <w:pPr>
              <w:spacing w:before="0" w:after="120"/>
            </w:pPr>
            <w:r>
              <w:rPr>
                <w:rFonts w:ascii="Segoe UI" w:hAnsi="Segoe UI"/>
                <w:b/>
                <w:color w:val="2563EB"/>
                <w:sz w:val="19"/>
              </w:rPr>
              <w:t xml:space="preserve">QUESTION 02  •  </w:t>
            </w:r>
            <w:r>
              <w:rPr>
                <w:rFonts w:ascii="Segoe UI" w:hAnsi="Segoe UI"/>
                <w:b/>
                <w:color w:val="1E293B"/>
                <w:sz w:val="23"/>
              </w:rPr>
              <w:t>Explain classification performance metrics and why accuracy alone is insufficient.</w:t>
            </w:r>
          </w:p>
          <w:p>
            <w:pPr>
              <w:spacing w:before="40" w:after="160" w:line="288" w:lineRule="auto"/>
            </w:pPr>
            <w:r>
              <w:rPr>
                <w:rFonts w:ascii="Segoe UI" w:hAnsi="Segoe UI"/>
                <w:b/>
                <w:color w:val="1E3A8A"/>
                <w:sz w:val="21"/>
              </w:rPr>
              <w:t xml:space="preserve">Answer: </w:t>
            </w:r>
            <w:r>
              <w:rPr>
                <w:rFonts w:ascii="Segoe UI" w:hAnsi="Segoe UI"/>
                <w:color w:val="1E293B"/>
                <w:sz w:val="21"/>
              </w:rPr>
              <w:t>Classification performance metrics (such as Precision, Recall, F1-Score, and AUC-ROC) measure how effectively and reliably a model predicts class labels. Accuracy alone is insufficient, especially in imbalanced datasets, because a naive model predicting only the majority class can achieve 95%+ accuracy while completely failing to identify the critical minority class.</w:t>
            </w:r>
          </w:p>
          <w:p>
            <w:pPr>
              <w:spacing w:before="160" w:after="60"/>
              <w:jc w:val="center"/>
            </w:pPr>
            <w:r>
              <w:drawing>
                <wp:inline xmlns:a="http://schemas.openxmlformats.org/drawingml/2006/main" xmlns:pic="http://schemas.openxmlformats.org/drawingml/2006/picture">
                  <wp:extent cx="5120640" cy="2858032"/>
                  <wp:docPr id="2" name="Picture 2"/>
                  <wp:cNvGraphicFramePr>
                    <a:graphicFrameLocks noChangeAspect="1"/>
                  </wp:cNvGraphicFramePr>
                  <a:graphic>
                    <a:graphicData uri="http://schemas.openxmlformats.org/drawingml/2006/picture">
                      <pic:pic>
                        <pic:nvPicPr>
                          <pic:cNvPr id="0" name="accuracy_paradox_metrics_1791373349432.jpg"/>
                          <pic:cNvPicPr/>
                        </pic:nvPicPr>
                        <pic:blipFill>
                          <a:blip r:embed="rId10"/>
                          <a:stretch>
                            <a:fillRect/>
                          </a:stretch>
                        </pic:blipFill>
                        <pic:spPr>
                          <a:xfrm>
                            <a:off x="0" y="0"/>
                            <a:ext cx="5120640" cy="2858032"/>
                          </a:xfrm>
                          <a:prstGeom prst="rect"/>
                        </pic:spPr>
                      </pic:pic>
                    </a:graphicData>
                  </a:graphic>
                </wp:inline>
              </w:drawing>
            </w:r>
          </w:p>
          <w:p>
            <w:pPr>
              <w:spacing w:before="0" w:after="80"/>
              <w:jc w:val="center"/>
            </w:pPr>
            <w:r>
              <w:rPr>
                <w:rFonts w:ascii="Segoe UI" w:hAnsi="Segoe UI"/>
                <w:i/>
                <w:color w:val="64748B"/>
                <w:sz w:val="17"/>
              </w:rPr>
              <w:t>Figure 2: The Accuracy Paradox &amp; Why Multi-Metric Evaluation Is Essential</w:t>
            </w:r>
          </w:p>
        </w:tc>
      </w:tr>
    </w:tbl>
    <w:p>
      <w:pPr>
        <w:spacing w:before="0" w:after="160"/>
      </w:pPr>
    </w:p>
    <w:tbl>
      <w:tblPr>
        <w:tblW w:type="auto" w:w="0"/>
        <w:jc w:val="center"/>
        <w:tblLook w:firstColumn="1" w:firstRow="1" w:lastColumn="0" w:lastRow="0" w:noHBand="0" w:noVBand="1" w:val="04A0"/>
      </w:tblPr>
      <w:tblGrid>
        <w:gridCol w:w="9936"/>
      </w:tblGrid>
      <w:tr>
        <w:tc>
          <w:tcPr>
            <w:tcW w:type="dxa" w:w="9792"/>
            <w:shd w:fill="F8FAFC"/>
            <w:tcBorders>
              <w:top w:val="none"/>
              <w:left w:val="single" w:sz="28" w:space="0" w:color="2563EB"/>
              <w:bottom w:val="none"/>
              <w:right w:val="none"/>
            </w:tcBorders>
            <w:tcMar>
              <w:top w:w="140" w:type="dxa"/>
              <w:bottom w:w="160" w:type="dxa"/>
              <w:left w:w="220" w:type="dxa"/>
              <w:right w:w="200" w:type="dxa"/>
            </w:tcMar>
          </w:tcPr>
          <w:p>
            <w:pPr>
              <w:spacing w:before="0" w:after="120"/>
            </w:pPr>
            <w:r>
              <w:rPr>
                <w:rFonts w:ascii="Segoe UI" w:hAnsi="Segoe UI"/>
                <w:b/>
                <w:color w:val="2563EB"/>
                <w:sz w:val="19"/>
              </w:rPr>
              <w:t xml:space="preserve">QUESTION 03  •  </w:t>
            </w:r>
            <w:r>
              <w:rPr>
                <w:rFonts w:ascii="Segoe UI" w:hAnsi="Segoe UI"/>
                <w:b/>
                <w:color w:val="1E293B"/>
                <w:sz w:val="23"/>
              </w:rPr>
              <w:t>Define Type-I Error and Type-II Error in the context of risk prediction.</w:t>
            </w:r>
          </w:p>
          <w:p>
            <w:pPr>
              <w:spacing w:before="40" w:after="80"/>
            </w:pPr>
            <w:r>
              <w:rPr>
                <w:rFonts w:ascii="Segoe UI" w:hAnsi="Segoe UI"/>
                <w:b/>
                <w:color w:val="1E3A8A"/>
                <w:sz w:val="21"/>
              </w:rPr>
              <w:t>Answer:</w:t>
            </w:r>
          </w:p>
          <w:p>
            <w:pPr>
              <w:spacing w:before="40" w:after="60" w:line="276" w:lineRule="auto"/>
              <w:ind w:left="288"/>
            </w:pPr>
            <w:r>
              <w:rPr>
                <w:rFonts w:ascii="Segoe UI" w:hAnsi="Segoe UI"/>
                <w:color w:val="2563EB"/>
                <w:sz w:val="17"/>
              </w:rPr>
              <w:t xml:space="preserve">▪  </w:t>
            </w:r>
            <w:r>
              <w:rPr>
                <w:rFonts w:ascii="Segoe UI" w:hAnsi="Segoe UI"/>
                <w:b/>
                <w:color w:val="1E293B"/>
                <w:sz w:val="20"/>
              </w:rPr>
              <w:t>Type-I Error (False Positive):</w:t>
            </w:r>
            <w:r>
              <w:rPr>
                <w:rFonts w:ascii="Segoe UI" w:hAnsi="Segoe UI"/>
                <w:color w:val="1E293B"/>
                <w:sz w:val="20"/>
              </w:rPr>
              <w:t xml:space="preserve"> The model predicts high risk when the actual risk is absent (e.g., falsely flagging a normal transaction as fraud or a healthy individual as high-risk).</w:t>
            </w:r>
          </w:p>
          <w:p>
            <w:pPr>
              <w:spacing w:before="40" w:after="60" w:line="276" w:lineRule="auto"/>
              <w:ind w:left="288"/>
            </w:pPr>
            <w:r>
              <w:rPr>
                <w:rFonts w:ascii="Segoe UI" w:hAnsi="Segoe UI"/>
                <w:color w:val="2563EB"/>
                <w:sz w:val="17"/>
              </w:rPr>
              <w:t xml:space="preserve">▪  </w:t>
            </w:r>
            <w:r>
              <w:rPr>
                <w:rFonts w:ascii="Segoe UI" w:hAnsi="Segoe UI"/>
                <w:b/>
                <w:color w:val="1E293B"/>
                <w:sz w:val="20"/>
              </w:rPr>
              <w:t>Type-II Error (False Negative):</w:t>
            </w:r>
            <w:r>
              <w:rPr>
                <w:rFonts w:ascii="Segoe UI" w:hAnsi="Segoe UI"/>
                <w:color w:val="1E293B"/>
                <w:sz w:val="20"/>
              </w:rPr>
              <w:t xml:space="preserve"> The model predicts low or no risk when the actual risk is truly present and critical (e.g., failing to detect fraud or a fatal disease). In risk prediction, Type-II errors are generally far more hazardous and costly.</w:t>
            </w:r>
          </w:p>
          <w:p>
            <w:pPr>
              <w:spacing w:before="160" w:after="60"/>
              <w:jc w:val="center"/>
            </w:pPr>
            <w:r>
              <w:drawing>
                <wp:inline xmlns:a="http://schemas.openxmlformats.org/drawingml/2006/main" xmlns:pic="http://schemas.openxmlformats.org/drawingml/2006/picture">
                  <wp:extent cx="5120640" cy="2858032"/>
                  <wp:docPr id="3" name="Picture 3"/>
                  <wp:cNvGraphicFramePr>
                    <a:graphicFrameLocks noChangeAspect="1"/>
                  </wp:cNvGraphicFramePr>
                  <a:graphic>
                    <a:graphicData uri="http://schemas.openxmlformats.org/drawingml/2006/picture">
                      <pic:pic>
                        <pic:nvPicPr>
                          <pic:cNvPr id="0" name="type1_type2_errors_1791373374060.jpg"/>
                          <pic:cNvPicPr/>
                        </pic:nvPicPr>
                        <pic:blipFill>
                          <a:blip r:embed="rId11"/>
                          <a:stretch>
                            <a:fillRect/>
                          </a:stretch>
                        </pic:blipFill>
                        <pic:spPr>
                          <a:xfrm>
                            <a:off x="0" y="0"/>
                            <a:ext cx="5120640" cy="2858032"/>
                          </a:xfrm>
                          <a:prstGeom prst="rect"/>
                        </pic:spPr>
                      </pic:pic>
                    </a:graphicData>
                  </a:graphic>
                </wp:inline>
              </w:drawing>
            </w:r>
          </w:p>
          <w:p>
            <w:pPr>
              <w:spacing w:before="0" w:after="80"/>
              <w:jc w:val="center"/>
            </w:pPr>
            <w:r>
              <w:rPr>
                <w:rFonts w:ascii="Segoe UI" w:hAnsi="Segoe UI"/>
                <w:i/>
                <w:color w:val="64748B"/>
                <w:sz w:val="17"/>
              </w:rPr>
              <w:t>Figure 3: Type-I Error (False Alarm) vs Type-II Error (Missed Danger) in Risk Prediction</w:t>
            </w:r>
          </w:p>
        </w:tc>
      </w:tr>
    </w:tbl>
    <w:p>
      <w:pPr>
        <w:spacing w:before="0" w:after="160"/>
      </w:pPr>
    </w:p>
    <w:tbl>
      <w:tblPr>
        <w:tblW w:type="auto" w:w="0"/>
        <w:jc w:val="center"/>
        <w:tblLook w:firstColumn="1" w:firstRow="1" w:lastColumn="0" w:lastRow="0" w:noHBand="0" w:noVBand="1" w:val="04A0"/>
      </w:tblPr>
      <w:tblGrid>
        <w:gridCol w:w="9936"/>
      </w:tblGrid>
      <w:tr>
        <w:tc>
          <w:tcPr>
            <w:tcW w:type="dxa" w:w="9792"/>
            <w:shd w:fill="F8FAFC"/>
            <w:tcBorders>
              <w:top w:val="none"/>
              <w:left w:val="single" w:sz="28" w:space="0" w:color="2563EB"/>
              <w:bottom w:val="none"/>
              <w:right w:val="none"/>
            </w:tcBorders>
            <w:tcMar>
              <w:top w:w="140" w:type="dxa"/>
              <w:bottom w:w="160" w:type="dxa"/>
              <w:left w:w="220" w:type="dxa"/>
              <w:right w:w="200" w:type="dxa"/>
            </w:tcMar>
          </w:tcPr>
          <w:p>
            <w:pPr>
              <w:spacing w:before="0" w:after="120"/>
            </w:pPr>
            <w:r>
              <w:rPr>
                <w:rFonts w:ascii="Segoe UI" w:hAnsi="Segoe UI"/>
                <w:b/>
                <w:color w:val="2563EB"/>
                <w:sz w:val="19"/>
              </w:rPr>
              <w:t xml:space="preserve">QUESTION 04  •  </w:t>
            </w:r>
            <w:r>
              <w:rPr>
                <w:rFonts w:ascii="Segoe UI" w:hAnsi="Segoe UI"/>
                <w:b/>
                <w:color w:val="1E293B"/>
                <w:sz w:val="23"/>
              </w:rPr>
              <w:t>Explain Precision, Recall, F1-Score, TPR, and FPR.</w:t>
            </w:r>
          </w:p>
          <w:p>
            <w:pPr>
              <w:spacing w:before="40" w:after="80"/>
            </w:pPr>
            <w:r>
              <w:rPr>
                <w:rFonts w:ascii="Segoe UI" w:hAnsi="Segoe UI"/>
                <w:b/>
                <w:color w:val="1E3A8A"/>
                <w:sz w:val="21"/>
              </w:rPr>
              <w:t>Answer:</w:t>
            </w:r>
          </w:p>
          <w:p>
            <w:pPr>
              <w:spacing w:before="40" w:after="60" w:line="276" w:lineRule="auto"/>
              <w:ind w:left="288"/>
            </w:pPr>
            <w:r>
              <w:rPr>
                <w:rFonts w:ascii="Segoe UI" w:hAnsi="Segoe UI"/>
                <w:color w:val="2563EB"/>
                <w:sz w:val="17"/>
              </w:rPr>
              <w:t xml:space="preserve">▪  </w:t>
            </w:r>
            <w:r>
              <w:rPr>
                <w:rFonts w:ascii="Segoe UI" w:hAnsi="Segoe UI"/>
                <w:b/>
                <w:color w:val="1E293B"/>
                <w:sz w:val="20"/>
              </w:rPr>
              <w:t xml:space="preserve">Precision: </w:t>
            </w:r>
            <w:r>
              <w:rPr>
                <w:rFonts w:ascii="Segoe UI" w:hAnsi="Segoe UI"/>
                <w:color w:val="1E293B"/>
                <w:sz w:val="20"/>
              </w:rPr>
              <w:t xml:space="preserve">Proportion of positive predictions that are truly correct. </w:t>
            </w:r>
            <w:r>
              <w:rPr>
                <w:rFonts w:ascii="Consolas" w:hAnsi="Consolas"/>
                <w:b/>
                <w:color w:val="1E40AF"/>
                <w:sz w:val="19"/>
              </w:rPr>
              <w:t>[TP / (TP + FP)]</w:t>
            </w:r>
          </w:p>
          <w:p>
            <w:pPr>
              <w:spacing w:before="40" w:after="60" w:line="276" w:lineRule="auto"/>
              <w:ind w:left="288"/>
            </w:pPr>
            <w:r>
              <w:rPr>
                <w:rFonts w:ascii="Segoe UI" w:hAnsi="Segoe UI"/>
                <w:color w:val="2563EB"/>
                <w:sz w:val="17"/>
              </w:rPr>
              <w:t xml:space="preserve">▪  </w:t>
            </w:r>
            <w:r>
              <w:rPr>
                <w:rFonts w:ascii="Segoe UI" w:hAnsi="Segoe UI"/>
                <w:b/>
                <w:color w:val="1E293B"/>
                <w:sz w:val="20"/>
              </w:rPr>
              <w:t xml:space="preserve">Recall / TPR: </w:t>
            </w:r>
            <w:r>
              <w:rPr>
                <w:rFonts w:ascii="Segoe UI" w:hAnsi="Segoe UI"/>
                <w:color w:val="1E293B"/>
                <w:sz w:val="20"/>
              </w:rPr>
              <w:t xml:space="preserve">Proportion of actual positive cases correctly identified by the model. </w:t>
            </w:r>
            <w:r>
              <w:rPr>
                <w:rFonts w:ascii="Consolas" w:hAnsi="Consolas"/>
                <w:b/>
                <w:color w:val="1E40AF"/>
                <w:sz w:val="19"/>
              </w:rPr>
              <w:t>[TP / (TP + FN)]</w:t>
            </w:r>
          </w:p>
          <w:p>
            <w:pPr>
              <w:spacing w:before="40" w:after="60" w:line="276" w:lineRule="auto"/>
              <w:ind w:left="288"/>
            </w:pPr>
            <w:r>
              <w:rPr>
                <w:rFonts w:ascii="Segoe UI" w:hAnsi="Segoe UI"/>
                <w:color w:val="2563EB"/>
                <w:sz w:val="17"/>
              </w:rPr>
              <w:t xml:space="preserve">▪  </w:t>
            </w:r>
            <w:r>
              <w:rPr>
                <w:rFonts w:ascii="Segoe UI" w:hAnsi="Segoe UI"/>
                <w:b/>
                <w:color w:val="1E293B"/>
                <w:sz w:val="20"/>
              </w:rPr>
              <w:t xml:space="preserve">F1-Score: </w:t>
            </w:r>
            <w:r>
              <w:rPr>
                <w:rFonts w:ascii="Segoe UI" w:hAnsi="Segoe UI"/>
                <w:color w:val="1E293B"/>
                <w:sz w:val="20"/>
              </w:rPr>
              <w:t xml:space="preserve">Harmonic mean of Precision and Recall, balancing both metrics. </w:t>
            </w:r>
            <w:r>
              <w:rPr>
                <w:rFonts w:ascii="Consolas" w:hAnsi="Consolas"/>
                <w:b/>
                <w:color w:val="1E40AF"/>
                <w:sz w:val="19"/>
              </w:rPr>
              <w:t>[2 × (Precision × Recall) / (Precision + Recall)]</w:t>
            </w:r>
          </w:p>
          <w:p>
            <w:pPr>
              <w:spacing w:before="40" w:after="60" w:line="276" w:lineRule="auto"/>
              <w:ind w:left="288"/>
            </w:pPr>
            <w:r>
              <w:rPr>
                <w:rFonts w:ascii="Segoe UI" w:hAnsi="Segoe UI"/>
                <w:color w:val="2563EB"/>
                <w:sz w:val="17"/>
              </w:rPr>
              <w:t xml:space="preserve">▪  </w:t>
            </w:r>
            <w:r>
              <w:rPr>
                <w:rFonts w:ascii="Segoe UI" w:hAnsi="Segoe UI"/>
                <w:b/>
                <w:color w:val="1E293B"/>
                <w:sz w:val="20"/>
              </w:rPr>
              <w:t xml:space="preserve">FPR (False Positive Rate): </w:t>
            </w:r>
            <w:r>
              <w:rPr>
                <w:rFonts w:ascii="Segoe UI" w:hAnsi="Segoe UI"/>
                <w:color w:val="1E293B"/>
                <w:sz w:val="20"/>
              </w:rPr>
              <w:t xml:space="preserve">Proportion of actual negative cases incorrectly predicted as positive. </w:t>
            </w:r>
            <w:r>
              <w:rPr>
                <w:rFonts w:ascii="Consolas" w:hAnsi="Consolas"/>
                <w:b/>
                <w:color w:val="1E40AF"/>
                <w:sz w:val="19"/>
              </w:rPr>
              <w:t>[FP / (FP + TN)]</w:t>
            </w:r>
          </w:p>
          <w:p>
            <w:pPr>
              <w:spacing w:before="160" w:after="60"/>
              <w:jc w:val="center"/>
            </w:pPr>
            <w:r>
              <w:drawing>
                <wp:inline xmlns:a="http://schemas.openxmlformats.org/drawingml/2006/main" xmlns:pic="http://schemas.openxmlformats.org/drawingml/2006/picture">
                  <wp:extent cx="5120640" cy="2858032"/>
                  <wp:docPr id="4" name="Picture 4"/>
                  <wp:cNvGraphicFramePr>
                    <a:graphicFrameLocks noChangeAspect="1"/>
                  </wp:cNvGraphicFramePr>
                  <a:graphic>
                    <a:graphicData uri="http://schemas.openxmlformats.org/drawingml/2006/picture">
                      <pic:pic>
                        <pic:nvPicPr>
                          <pic:cNvPr id="0" name="classification_metrics_guide_1791373394500.jpg"/>
                          <pic:cNvPicPr/>
                        </pic:nvPicPr>
                        <pic:blipFill>
                          <a:blip r:embed="rId12"/>
                          <a:stretch>
                            <a:fillRect/>
                          </a:stretch>
                        </pic:blipFill>
                        <pic:spPr>
                          <a:xfrm>
                            <a:off x="0" y="0"/>
                            <a:ext cx="5120640" cy="2858032"/>
                          </a:xfrm>
                          <a:prstGeom prst="rect"/>
                        </pic:spPr>
                      </pic:pic>
                    </a:graphicData>
                  </a:graphic>
                </wp:inline>
              </w:drawing>
            </w:r>
          </w:p>
          <w:p>
            <w:pPr>
              <w:spacing w:before="0" w:after="80"/>
              <w:jc w:val="center"/>
            </w:pPr>
            <w:r>
              <w:rPr>
                <w:rFonts w:ascii="Segoe UI" w:hAnsi="Segoe UI"/>
                <w:i/>
                <w:color w:val="64748B"/>
                <w:sz w:val="17"/>
              </w:rPr>
              <w:t>Figure 4: Confusion Matrix Breakdown and Core Classification Metrics</w:t>
            </w:r>
          </w:p>
        </w:tc>
      </w:tr>
    </w:tbl>
    <w:p>
      <w:pPr>
        <w:spacing w:before="0" w:after="160"/>
      </w:pPr>
    </w:p>
    <w:tbl>
      <w:tblPr>
        <w:tblW w:type="auto" w:w="0"/>
        <w:jc w:val="center"/>
        <w:tblLook w:firstColumn="1" w:firstRow="1" w:lastColumn="0" w:lastRow="0" w:noHBand="0" w:noVBand="1" w:val="04A0"/>
      </w:tblPr>
      <w:tblGrid>
        <w:gridCol w:w="9936"/>
      </w:tblGrid>
      <w:tr>
        <w:tc>
          <w:tcPr>
            <w:tcW w:type="dxa" w:w="9792"/>
            <w:shd w:fill="F8FAFC"/>
            <w:tcBorders>
              <w:top w:val="none"/>
              <w:left w:val="single" w:sz="28" w:space="0" w:color="2563EB"/>
              <w:bottom w:val="none"/>
              <w:right w:val="none"/>
            </w:tcBorders>
            <w:tcMar>
              <w:top w:w="140" w:type="dxa"/>
              <w:bottom w:w="160" w:type="dxa"/>
              <w:left w:w="220" w:type="dxa"/>
              <w:right w:w="200" w:type="dxa"/>
            </w:tcMar>
          </w:tcPr>
          <w:p>
            <w:pPr>
              <w:spacing w:before="0" w:after="120"/>
            </w:pPr>
            <w:r>
              <w:rPr>
                <w:rFonts w:ascii="Segoe UI" w:hAnsi="Segoe UI"/>
                <w:b/>
                <w:color w:val="2563EB"/>
                <w:sz w:val="19"/>
              </w:rPr>
              <w:t xml:space="preserve">QUESTION 05  •  </w:t>
            </w:r>
            <w:r>
              <w:rPr>
                <w:rFonts w:ascii="Segoe UI" w:hAnsi="Segoe UI"/>
                <w:b/>
                <w:color w:val="1E293B"/>
                <w:sz w:val="23"/>
              </w:rPr>
              <w:t>What is AUC-ROC and how does it help in evaluating classifiers?</w:t>
            </w:r>
          </w:p>
          <w:p>
            <w:pPr>
              <w:spacing w:before="40" w:after="160" w:line="288" w:lineRule="auto"/>
            </w:pPr>
            <w:r>
              <w:rPr>
                <w:rFonts w:ascii="Segoe UI" w:hAnsi="Segoe UI"/>
                <w:b/>
                <w:color w:val="1E3A8A"/>
                <w:sz w:val="21"/>
              </w:rPr>
              <w:t xml:space="preserve">Answer: </w:t>
            </w:r>
            <w:r>
              <w:rPr>
                <w:rFonts w:ascii="Segoe UI" w:hAnsi="Segoe UI"/>
                <w:color w:val="1E293B"/>
                <w:sz w:val="21"/>
              </w:rPr>
              <w:t>AUC-ROC (Area Under the Receiver Operating Characteristic Curve) evaluates a model's ability to distinguish between positive and negative classes across all possible decision thresholds. An AUC of 1.0 represents perfect classification, whereas 0.5 indicates random guessing. It helps evaluate models independently of a single threshold and provides a reliable assessment even when class distributions are skewed.</w:t>
            </w:r>
          </w:p>
          <w:p>
            <w:pPr>
              <w:spacing w:before="160" w:after="60"/>
              <w:jc w:val="center"/>
            </w:pPr>
            <w:r>
              <w:drawing>
                <wp:inline xmlns:a="http://schemas.openxmlformats.org/drawingml/2006/main" xmlns:pic="http://schemas.openxmlformats.org/drawingml/2006/picture">
                  <wp:extent cx="5120640" cy="2858032"/>
                  <wp:docPr id="5" name="Picture 5"/>
                  <wp:cNvGraphicFramePr>
                    <a:graphicFrameLocks noChangeAspect="1"/>
                  </wp:cNvGraphicFramePr>
                  <a:graphic>
                    <a:graphicData uri="http://schemas.openxmlformats.org/drawingml/2006/picture">
                      <pic:pic>
                        <pic:nvPicPr>
                          <pic:cNvPr id="0" name="auc_roc_curve_diagram_1791373414717.jpg"/>
                          <pic:cNvPicPr/>
                        </pic:nvPicPr>
                        <pic:blipFill>
                          <a:blip r:embed="rId13"/>
                          <a:stretch>
                            <a:fillRect/>
                          </a:stretch>
                        </pic:blipFill>
                        <pic:spPr>
                          <a:xfrm>
                            <a:off x="0" y="0"/>
                            <a:ext cx="5120640" cy="2858032"/>
                          </a:xfrm>
                          <a:prstGeom prst="rect"/>
                        </pic:spPr>
                      </pic:pic>
                    </a:graphicData>
                  </a:graphic>
                </wp:inline>
              </w:drawing>
            </w:r>
          </w:p>
          <w:p>
            <w:pPr>
              <w:spacing w:before="0" w:after="80"/>
              <w:jc w:val="center"/>
            </w:pPr>
            <w:r>
              <w:rPr>
                <w:rFonts w:ascii="Segoe UI" w:hAnsi="Segoe UI"/>
                <w:i/>
                <w:color w:val="64748B"/>
                <w:sz w:val="17"/>
              </w:rPr>
              <w:t>Figure 5: Receiver Operating Characteristic (ROC) Curve and Area Under Curve (AUC)</w:t>
            </w:r>
          </w:p>
        </w:tc>
      </w:tr>
    </w:tbl>
    <w:p>
      <w:pPr>
        <w:spacing w:before="0" w:after="160"/>
      </w:pPr>
    </w:p>
    <w:tbl>
      <w:tblPr>
        <w:tblW w:type="auto" w:w="0"/>
        <w:jc w:val="center"/>
        <w:tblLook w:firstColumn="1" w:firstRow="1" w:lastColumn="0" w:lastRow="0" w:noHBand="0" w:noVBand="1" w:val="04A0"/>
      </w:tblPr>
      <w:tblGrid>
        <w:gridCol w:w="9936"/>
      </w:tblGrid>
      <w:tr>
        <w:tc>
          <w:tcPr>
            <w:tcW w:type="dxa" w:w="9792"/>
            <w:shd w:fill="F8FAFC"/>
            <w:tcBorders>
              <w:top w:val="none"/>
              <w:left w:val="single" w:sz="28" w:space="0" w:color="2563EB"/>
              <w:bottom w:val="none"/>
              <w:right w:val="none"/>
            </w:tcBorders>
            <w:tcMar>
              <w:top w:w="140" w:type="dxa"/>
              <w:bottom w:w="160" w:type="dxa"/>
              <w:left w:w="220" w:type="dxa"/>
              <w:right w:w="200" w:type="dxa"/>
            </w:tcMar>
          </w:tcPr>
          <w:p>
            <w:pPr>
              <w:spacing w:before="0" w:after="120"/>
            </w:pPr>
            <w:r>
              <w:rPr>
                <w:rFonts w:ascii="Segoe UI" w:hAnsi="Segoe UI"/>
                <w:b/>
                <w:color w:val="2563EB"/>
                <w:sz w:val="19"/>
              </w:rPr>
              <w:t xml:space="preserve">QUESTION 06  •  </w:t>
            </w:r>
            <w:r>
              <w:rPr>
                <w:rFonts w:ascii="Segoe UI" w:hAnsi="Segoe UI"/>
                <w:b/>
                <w:color w:val="1E293B"/>
                <w:sz w:val="23"/>
              </w:rPr>
              <w:t>Why does imbalanced data create problems in classification models?</w:t>
            </w:r>
          </w:p>
          <w:p>
            <w:pPr>
              <w:spacing w:before="40" w:after="160" w:line="288" w:lineRule="auto"/>
            </w:pPr>
            <w:r>
              <w:rPr>
                <w:rFonts w:ascii="Segoe UI" w:hAnsi="Segoe UI"/>
                <w:b/>
                <w:color w:val="1E3A8A"/>
                <w:sz w:val="21"/>
              </w:rPr>
              <w:t xml:space="preserve">Answer: </w:t>
            </w:r>
            <w:r>
              <w:rPr>
                <w:rFonts w:ascii="Segoe UI" w:hAnsi="Segoe UI"/>
                <w:color w:val="1E293B"/>
                <w:sz w:val="21"/>
              </w:rPr>
              <w:t>Imbalanced data creates severe problems because standard machine learning algorithms aim to maximize overall accuracy, leading them to prioritize the majority class and ignore the minority class. As a result, the model appears highly accurate on paper but fails to learn distinguishing patterns of rare events, causing dangerous false-negative rates for critical predictions.</w:t>
            </w:r>
          </w:p>
          <w:p>
            <w:pPr>
              <w:spacing w:before="160" w:after="60"/>
              <w:jc w:val="center"/>
            </w:pPr>
            <w:r>
              <w:drawing>
                <wp:inline xmlns:a="http://schemas.openxmlformats.org/drawingml/2006/main" xmlns:pic="http://schemas.openxmlformats.org/drawingml/2006/picture">
                  <wp:extent cx="5120640" cy="2858032"/>
                  <wp:docPr id="6" name="Picture 6"/>
                  <wp:cNvGraphicFramePr>
                    <a:graphicFrameLocks noChangeAspect="1"/>
                  </wp:cNvGraphicFramePr>
                  <a:graphic>
                    <a:graphicData uri="http://schemas.openxmlformats.org/drawingml/2006/picture">
                      <pic:pic>
                        <pic:nvPicPr>
                          <pic:cNvPr id="0" name="imbalanced_data_problem_1791373433634.jpg"/>
                          <pic:cNvPicPr/>
                        </pic:nvPicPr>
                        <pic:blipFill>
                          <a:blip r:embed="rId14"/>
                          <a:stretch>
                            <a:fillRect/>
                          </a:stretch>
                        </pic:blipFill>
                        <pic:spPr>
                          <a:xfrm>
                            <a:off x="0" y="0"/>
                            <a:ext cx="5120640" cy="2858032"/>
                          </a:xfrm>
                          <a:prstGeom prst="rect"/>
                        </pic:spPr>
                      </pic:pic>
                    </a:graphicData>
                  </a:graphic>
                </wp:inline>
              </w:drawing>
            </w:r>
          </w:p>
          <w:p>
            <w:pPr>
              <w:spacing w:before="0" w:after="80"/>
              <w:jc w:val="center"/>
            </w:pPr>
            <w:r>
              <w:rPr>
                <w:rFonts w:ascii="Segoe UI" w:hAnsi="Segoe UI"/>
                <w:i/>
                <w:color w:val="64748B"/>
                <w:sz w:val="17"/>
              </w:rPr>
              <w:t>Figure 6: Impact of Skewed Class Distribution and Algorithm Bias</w:t>
            </w:r>
          </w:p>
        </w:tc>
      </w:tr>
    </w:tbl>
    <w:p>
      <w:pPr>
        <w:spacing w:before="0" w:after="160"/>
      </w:pPr>
    </w:p>
    <w:p>
      <w:r>
        <w:br w:type="page"/>
      </w:r>
    </w:p>
    <w:tbl>
      <w:tblPr>
        <w:tblW w:type="auto" w:w="0"/>
        <w:jc w:val="left"/>
        <w:tblLook w:firstColumn="1" w:firstRow="1" w:lastColumn="0" w:lastRow="0" w:noHBand="0" w:noVBand="1" w:val="04A0"/>
      </w:tblPr>
      <w:tblGrid>
        <w:gridCol w:w="9936"/>
      </w:tblGrid>
      <w:tr>
        <w:tc>
          <w:tcPr>
            <w:tcW w:type="dxa" w:w="4608"/>
            <w:shd w:fill="DCFCE7"/>
            <w:tcMar>
              <w:top w:w="60" w:type="dxa"/>
              <w:bottom w:w="60" w:type="dxa"/>
              <w:left w:w="120" w:type="dxa"/>
              <w:right w:w="120" w:type="dxa"/>
            </w:tcMar>
            <w:tcBorders>
              <w:top w:val="single" w:sz="6" w:space="0" w:color="BBF7D0"/>
              <w:left w:val="single" w:sz="6" w:space="0" w:color="BBF7D0"/>
              <w:bottom w:val="single" w:sz="6" w:space="0" w:color="BBF7D0"/>
              <w:right w:val="single" w:sz="6" w:space="0" w:color="BBF7D0"/>
            </w:tcBorders>
          </w:tcPr>
          <w:p>
            <w:pPr>
              <w:spacing w:before="0" w:after="0"/>
            </w:pPr>
            <w:r>
              <w:rPr>
                <w:rFonts w:ascii="Segoe UI" w:hAnsi="Segoe UI"/>
                <w:b/>
                <w:color w:val="166534"/>
                <w:sz w:val="17"/>
              </w:rPr>
              <w:t>PART H • FINAL ANALYSIS &amp; REPORTING</w:t>
            </w:r>
          </w:p>
        </w:tc>
      </w:tr>
    </w:tbl>
    <w:p>
      <w:pPr>
        <w:spacing w:after="40"/>
      </w:pPr>
    </w:p>
    <w:p>
      <w:pPr>
        <w:spacing w:before="80" w:after="120"/>
      </w:pPr>
      <w:r>
        <w:rPr>
          <w:rFonts w:ascii="Segoe UI" w:hAnsi="Segoe UI"/>
          <w:b/>
          <w:color w:val="1E3A8A"/>
          <w:sz w:val="40"/>
        </w:rPr>
        <w:t>Question 26: Final Project Report</w:t>
      </w:r>
    </w:p>
    <w:p>
      <w:pPr>
        <w:pBdr>
          <w:bottom w:val="single" w:sz="18" w:space="8" w:color="166534"/>
        </w:pBdr>
        <w:spacing w:after="280"/>
      </w:pPr>
    </w:p>
    <w:tbl>
      <w:tblPr>
        <w:tblW w:type="auto" w:w="0"/>
        <w:jc w:val="center"/>
        <w:tblLook w:firstColumn="1" w:firstRow="1" w:lastColumn="0" w:lastRow="0" w:noHBand="0" w:noVBand="1" w:val="04A0"/>
      </w:tblPr>
      <w:tblGrid>
        <w:gridCol w:w="9936"/>
      </w:tblGrid>
      <w:tr>
        <w:tc>
          <w:tcPr>
            <w:tcW w:type="dxa" w:w="9792"/>
            <w:shd w:fill="F8FAFC"/>
            <w:tcBorders>
              <w:top w:val="none"/>
              <w:left w:val="single" w:sz="28" w:space="0" w:color="166534"/>
              <w:bottom w:val="none"/>
              <w:right w:val="none"/>
            </w:tcBorders>
            <w:tcMar>
              <w:top w:w="140" w:type="dxa"/>
              <w:bottom w:w="160" w:type="dxa"/>
              <w:left w:w="200" w:type="dxa"/>
              <w:right w:w="200" w:type="dxa"/>
            </w:tcMar>
          </w:tcPr>
          <w:p>
            <w:pPr>
              <w:spacing w:before="0" w:after="120"/>
            </w:pPr>
            <w:r>
              <w:rPr>
                <w:rFonts w:ascii="Segoe UI" w:hAnsi="Segoe UI"/>
                <w:b/>
                <w:color w:val="0F172A"/>
                <w:sz w:val="24"/>
              </w:rPr>
              <w:t>1. Best Classification Model and Justification</w:t>
            </w:r>
          </w:p>
          <w:p>
            <w:pPr>
              <w:spacing w:line="288" w:lineRule="auto" w:after="120"/>
            </w:pPr>
            <w:r>
              <w:rPr>
                <w:b/>
              </w:rPr>
              <w:t xml:space="preserve">Selected Model: </w:t>
            </w:r>
            <w:r>
              <w:rPr>
                <w:b/>
                <w:color w:val="166534"/>
              </w:rPr>
              <w:t>Tuned Random Forest Classifier (Optimized via GridSearchCV)</w:t>
              <w:br/>
            </w:r>
          </w:p>
          <w:p>
            <w:pPr>
              <w:spacing w:line="288" w:lineRule="auto" w:after="80"/>
            </w:pPr>
            <w:r>
              <w:rPr>
                <w:b/>
              </w:rPr>
              <w:t xml:space="preserve">• Optimal Hyperparameters: </w:t>
            </w:r>
            <w:r>
              <w:t>n_estimators = 50, max_depth = 10, min_samples_split = 2, min_samples_leaf = 1 (tuned with scoring = 'recall').</w:t>
            </w:r>
          </w:p>
          <w:p>
            <w:pPr>
              <w:spacing w:line="288" w:lineRule="auto" w:after="80"/>
            </w:pPr>
            <w:r>
              <w:rPr>
                <w:b/>
              </w:rPr>
              <w:t>• Justification &amp; Key Achievements:</w:t>
              <w:br/>
            </w:r>
          </w:p>
          <w:p>
            <w:pPr>
              <w:spacing w:line="276" w:lineRule="auto" w:after="40"/>
              <w:ind w:left="288"/>
            </w:pPr>
            <w:r>
              <w:rPr>
                <w:color w:val="166534"/>
              </w:rPr>
              <w:t xml:space="preserve">▪ </w:t>
            </w:r>
            <w:r>
              <w:rPr>
                <w:b/>
              </w:rPr>
              <w:t xml:space="preserve">Highest Discriminative Power: </w:t>
            </w:r>
            <w:r>
              <w:t>Achieved an outstanding AUC-ROC score of 0.9997, separating risk and safe classes almost perfectly.</w:t>
            </w:r>
          </w:p>
          <w:p>
            <w:pPr>
              <w:spacing w:line="276" w:lineRule="auto" w:after="40"/>
              <w:ind w:left="288"/>
            </w:pPr>
            <w:r>
              <w:rPr>
                <w:color w:val="166534"/>
              </w:rPr>
              <w:t xml:space="preserve">▪ </w:t>
            </w:r>
            <w:r>
              <w:rPr>
                <w:b/>
              </w:rPr>
              <w:t xml:space="preserve">Minimizing False Negatives: </w:t>
            </w:r>
            <w:r>
              <w:t>Minority class Recall reached 95.16% (identifying 118 out of 124 true risk events), a major jump from the untuned baseline of 90.32%.</w:t>
            </w:r>
          </w:p>
          <w:p>
            <w:pPr>
              <w:spacing w:line="276" w:lineRule="auto" w:after="40"/>
              <w:ind w:left="288"/>
            </w:pPr>
            <w:r>
              <w:rPr>
                <w:color w:val="166534"/>
              </w:rPr>
              <w:t xml:space="preserve">▪ </w:t>
            </w:r>
            <w:r>
              <w:rPr>
                <w:b/>
              </w:rPr>
              <w:t xml:space="preserve">Superior Balance (F1-Score): </w:t>
            </w:r>
            <w:r>
              <w:t>Maintained a top F1-Score of 0.9712 and Overall Accuracy of 99.24%, proving predictions are both highly accurate and comprehensive.</w:t>
            </w:r>
          </w:p>
          <w:p>
            <w:pPr>
              <w:spacing w:line="276" w:lineRule="auto" w:after="40"/>
              <w:ind w:left="288"/>
            </w:pPr>
            <w:r>
              <w:rPr>
                <w:color w:val="166534"/>
              </w:rPr>
              <w:t xml:space="preserve">▪ </w:t>
            </w:r>
            <w:r>
              <w:rPr>
                <w:b/>
              </w:rPr>
              <w:t xml:space="preserve">Robust Generalization: </w:t>
            </w:r>
            <w:r>
              <w:t>Bagging across 50 decision trees reduced variance, keeping the training-to-testing generalization gap to only 0.5% (unlike single Decision Trees which overfit).</w:t>
            </w:r>
          </w:p>
        </w:tc>
      </w:tr>
    </w:tbl>
    <w:p>
      <w:pPr>
        <w:spacing w:before="0" w:after="160"/>
      </w:pPr>
    </w:p>
    <w:tbl>
      <w:tblPr>
        <w:tblW w:type="auto" w:w="0"/>
        <w:jc w:val="center"/>
        <w:tblLook w:firstColumn="1" w:firstRow="1" w:lastColumn="0" w:lastRow="0" w:noHBand="0" w:noVBand="1" w:val="04A0"/>
      </w:tblPr>
      <w:tblGrid>
        <w:gridCol w:w="9936"/>
      </w:tblGrid>
      <w:tr>
        <w:tc>
          <w:tcPr>
            <w:tcW w:type="dxa" w:w="9792"/>
            <w:shd w:fill="F8FAFC"/>
            <w:tcBorders>
              <w:top w:val="none"/>
              <w:left w:val="single" w:sz="28" w:space="0" w:color="0284C7"/>
              <w:bottom w:val="none"/>
              <w:right w:val="none"/>
            </w:tcBorders>
            <w:tcMar>
              <w:top w:w="140" w:type="dxa"/>
              <w:bottom w:w="160" w:type="dxa"/>
              <w:left w:w="200" w:type="dxa"/>
              <w:right w:w="200" w:type="dxa"/>
            </w:tcMar>
          </w:tcPr>
          <w:p>
            <w:pPr>
              <w:spacing w:before="0" w:after="120"/>
            </w:pPr>
            <w:r>
              <w:rPr>
                <w:rFonts w:ascii="Segoe UI" w:hAnsi="Segoe UI"/>
                <w:b/>
                <w:color w:val="0F172A"/>
                <w:sz w:val="24"/>
              </w:rPr>
              <w:t>2. Impact of Imbalance Handling Techniques</w:t>
            </w:r>
          </w:p>
          <w:p>
            <w:pPr>
              <w:spacing w:line="288" w:lineRule="auto" w:after="120"/>
            </w:pPr>
            <w:r>
              <w:rPr>
                <w:b/>
              </w:rPr>
              <w:t xml:space="preserve">Original Data Distribution: </w:t>
            </w:r>
            <w:r>
              <w:t>The training dataset is heavily skewed, with 88.23% Class 0 (Safe) and only 11.77% Class 1 (Risk Alert). Under-represented minority cases caused the baseline model to miss 11 true risks.</w:t>
            </w:r>
          </w:p>
          <w:p>
            <w:pPr>
              <w:spacing w:after="80"/>
            </w:pPr>
            <w:r>
              <w:rPr>
                <w:b/>
              </w:rPr>
              <w:t>Performance Comparison Across Resampling Techniques:</w:t>
            </w:r>
          </w:p>
          <w:tbl>
            <w:tblPr>
              <w:tblW w:type="auto" w:w="0"/>
              <w:jc w:val="center"/>
              <w:tblLook w:firstColumn="1" w:firstRow="1" w:lastColumn="0" w:lastRow="0" w:noHBand="0" w:noVBand="1" w:val="04A0"/>
            </w:tblPr>
            <w:tblGrid>
              <w:gridCol w:w="2448"/>
              <w:gridCol w:w="2448"/>
              <w:gridCol w:w="2448"/>
              <w:gridCol w:w="2448"/>
            </w:tblGrid>
            <w:tr>
              <w:tc>
                <w:tcPr>
                  <w:tcW w:type="dxa" w:w="2448"/>
                  <w:shd w:fill="166534"/>
                  <w:tcMar>
                    <w:top w:w="100" w:type="dxa"/>
                    <w:bottom w:w="100" w:type="dxa"/>
                    <w:left w:w="140" w:type="dxa"/>
                    <w:right w:w="140" w:type="dxa"/>
                  </w:tcMar>
                  <w:tcBorders>
                    <w:top w:val="single" w:sz="6" w:space="0" w:color="94A3B8"/>
                    <w:left w:val="single" w:sz="6" w:space="0" w:color="94A3B8"/>
                    <w:bottom w:val="single" w:sz="6" w:space="0" w:color="94A3B8"/>
                    <w:right w:val="single" w:sz="6" w:space="0" w:color="94A3B8"/>
                  </w:tcBorders>
                </w:tcPr>
                <w:p>
                  <w:pPr>
                    <w:jc w:val="center"/>
                  </w:pPr>
                  <w:r>
                    <w:t>Resampling Technique</w:t>
                  </w:r>
                </w:p>
              </w:tc>
              <w:tc>
                <w:tcPr>
                  <w:tcW w:type="dxa" w:w="2448"/>
                  <w:shd w:fill="166534"/>
                  <w:tcMar>
                    <w:top w:w="100" w:type="dxa"/>
                    <w:bottom w:w="100" w:type="dxa"/>
                    <w:left w:w="140" w:type="dxa"/>
                    <w:right w:w="140" w:type="dxa"/>
                  </w:tcMar>
                  <w:tcBorders>
                    <w:top w:val="single" w:sz="6" w:space="0" w:color="94A3B8"/>
                    <w:left w:val="single" w:sz="6" w:space="0" w:color="94A3B8"/>
                    <w:bottom w:val="single" w:sz="6" w:space="0" w:color="94A3B8"/>
                    <w:right w:val="single" w:sz="6" w:space="0" w:color="94A3B8"/>
                  </w:tcBorders>
                </w:tcPr>
                <w:p>
                  <w:pPr>
                    <w:jc w:val="center"/>
                  </w:pPr>
                  <w:r>
                    <w:t>Recall (Minority)</w:t>
                  </w:r>
                </w:p>
              </w:tc>
              <w:tc>
                <w:tcPr>
                  <w:tcW w:type="dxa" w:w="2448"/>
                  <w:shd w:fill="166534"/>
                  <w:tcMar>
                    <w:top w:w="100" w:type="dxa"/>
                    <w:bottom w:w="100" w:type="dxa"/>
                    <w:left w:w="140" w:type="dxa"/>
                    <w:right w:w="140" w:type="dxa"/>
                  </w:tcMar>
                  <w:tcBorders>
                    <w:top w:val="single" w:sz="6" w:space="0" w:color="94A3B8"/>
                    <w:left w:val="single" w:sz="6" w:space="0" w:color="94A3B8"/>
                    <w:bottom w:val="single" w:sz="6" w:space="0" w:color="94A3B8"/>
                    <w:right w:val="single" w:sz="6" w:space="0" w:color="94A3B8"/>
                  </w:tcBorders>
                </w:tcPr>
                <w:p>
                  <w:pPr>
                    <w:jc w:val="center"/>
                  </w:pPr>
                  <w:r>
                    <w:t>F1-Score</w:t>
                  </w:r>
                </w:p>
              </w:tc>
              <w:tc>
                <w:tcPr>
                  <w:tcW w:type="dxa" w:w="2448"/>
                  <w:shd w:fill="166534"/>
                  <w:tcMar>
                    <w:top w:w="100" w:type="dxa"/>
                    <w:bottom w:w="100" w:type="dxa"/>
                    <w:left w:w="140" w:type="dxa"/>
                    <w:right w:w="140" w:type="dxa"/>
                  </w:tcMar>
                  <w:tcBorders>
                    <w:top w:val="single" w:sz="6" w:space="0" w:color="94A3B8"/>
                    <w:left w:val="single" w:sz="6" w:space="0" w:color="94A3B8"/>
                    <w:bottom w:val="single" w:sz="6" w:space="0" w:color="94A3B8"/>
                    <w:right w:val="single" w:sz="6" w:space="0" w:color="94A3B8"/>
                  </w:tcBorders>
                </w:tcPr>
                <w:p>
                  <w:pPr>
                    <w:jc w:val="center"/>
                  </w:pPr>
                  <w:r>
                    <w:t>AUC-ROC</w:t>
                  </w:r>
                </w:p>
              </w:tc>
            </w:tr>
            <w:tr>
              <w:tc>
                <w:tcPr>
                  <w:tcW w:type="dxa" w:w="244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left"/>
                  </w:pPr>
                  <w:r>
                    <w:t>Baseline (No Balancing)</w:t>
                  </w:r>
                </w:p>
              </w:tc>
              <w:tc>
                <w:tcPr>
                  <w:tcW w:type="dxa" w:w="244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0.9113</w:t>
                  </w:r>
                </w:p>
              </w:tc>
              <w:tc>
                <w:tcPr>
                  <w:tcW w:type="dxa" w:w="244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0.9378</w:t>
                  </w:r>
                </w:p>
              </w:tc>
              <w:tc>
                <w:tcPr>
                  <w:tcW w:type="dxa" w:w="244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0.9953</w:t>
                  </w:r>
                </w:p>
              </w:tc>
            </w:tr>
            <w:tr>
              <w:tc>
                <w:tcPr>
                  <w:tcW w:type="dxa" w:w="2448"/>
                  <w:shd w:fill="F0FDF4"/>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left"/>
                  </w:pPr>
                  <w:r>
                    <w:t>Under-Sampling (RandomUnderSampler)</w:t>
                  </w:r>
                </w:p>
              </w:tc>
              <w:tc>
                <w:tcPr>
                  <w:tcW w:type="dxa" w:w="2448"/>
                  <w:shd w:fill="F0FDF4"/>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1.0000</w:t>
                  </w:r>
                </w:p>
              </w:tc>
              <w:tc>
                <w:tcPr>
                  <w:tcW w:type="dxa" w:w="2448"/>
                  <w:shd w:fill="F0FDF4"/>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0.9538</w:t>
                  </w:r>
                </w:p>
              </w:tc>
              <w:tc>
                <w:tcPr>
                  <w:tcW w:type="dxa" w:w="2448"/>
                  <w:shd w:fill="F0FDF4"/>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0.9990</w:t>
                  </w:r>
                </w:p>
              </w:tc>
            </w:tr>
            <w:tr>
              <w:tc>
                <w:tcPr>
                  <w:tcW w:type="dxa" w:w="244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left"/>
                  </w:pPr>
                  <w:r>
                    <w:t>Over-Sampling (RandomOverSampler)</w:t>
                  </w:r>
                </w:p>
              </w:tc>
              <w:tc>
                <w:tcPr>
                  <w:tcW w:type="dxa" w:w="244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1.0000</w:t>
                  </w:r>
                </w:p>
              </w:tc>
              <w:tc>
                <w:tcPr>
                  <w:tcW w:type="dxa" w:w="244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0.9650</w:t>
                  </w:r>
                </w:p>
              </w:tc>
              <w:tc>
                <w:tcPr>
                  <w:tcW w:type="dxa" w:w="244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0.9993</w:t>
                  </w:r>
                </w:p>
              </w:tc>
            </w:tr>
            <w:tr>
              <w:tc>
                <w:tcPr>
                  <w:tcW w:type="dxa" w:w="2448"/>
                  <w:shd w:fill="F0FDF4"/>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left"/>
                  </w:pPr>
                  <w:r>
                    <w:t>SMOTE (Synthetic Over-sampling)</w:t>
                  </w:r>
                </w:p>
              </w:tc>
              <w:tc>
                <w:tcPr>
                  <w:tcW w:type="dxa" w:w="2448"/>
                  <w:shd w:fill="F0FDF4"/>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0.9919</w:t>
                  </w:r>
                </w:p>
              </w:tc>
              <w:tc>
                <w:tcPr>
                  <w:tcW w:type="dxa" w:w="2448"/>
                  <w:shd w:fill="F0FDF4"/>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0.9572</w:t>
                  </w:r>
                </w:p>
              </w:tc>
              <w:tc>
                <w:tcPr>
                  <w:tcW w:type="dxa" w:w="2448"/>
                  <w:shd w:fill="F0FDF4"/>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0.9986</w:t>
                  </w:r>
                </w:p>
              </w:tc>
            </w:tr>
            <w:tr>
              <w:tc>
                <w:tcPr>
                  <w:tcW w:type="dxa" w:w="244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left"/>
                  </w:pPr>
                  <w:r>
                    <w:t>ADASYN (Adaptive Synthetic)</w:t>
                  </w:r>
                </w:p>
              </w:tc>
              <w:tc>
                <w:tcPr>
                  <w:tcW w:type="dxa" w:w="244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0.9516</w:t>
                  </w:r>
                </w:p>
              </w:tc>
              <w:tc>
                <w:tcPr>
                  <w:tcW w:type="dxa" w:w="244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0.8872</w:t>
                  </w:r>
                </w:p>
              </w:tc>
              <w:tc>
                <w:tcPr>
                  <w:tcW w:type="dxa" w:w="244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0.9948</w:t>
                  </w:r>
                </w:p>
              </w:tc>
            </w:tr>
          </w:tbl>
          <w:p/>
          <w:p>
            <w:pPr>
              <w:spacing w:line="288" w:lineRule="auto" w:before="160" w:after="40"/>
            </w:pPr>
            <w:r>
              <w:rPr>
                <w:b/>
              </w:rPr>
              <w:t xml:space="preserve">• Impact Summary: </w:t>
            </w:r>
            <w:r>
              <w:t>Over-Sampling and SMOTE pushed Recall up to 99-100%, eliminating false negatives without discarding data. Over-Sampling achieved the highest balanced F1-score (0.9650).</w:t>
            </w:r>
          </w:p>
        </w:tc>
      </w:tr>
    </w:tbl>
    <w:p>
      <w:pPr>
        <w:spacing w:before="0" w:after="160"/>
      </w:pPr>
    </w:p>
    <w:tbl>
      <w:tblPr>
        <w:tblW w:type="auto" w:w="0"/>
        <w:jc w:val="center"/>
        <w:tblLook w:firstColumn="1" w:firstRow="1" w:lastColumn="0" w:lastRow="0" w:noHBand="0" w:noVBand="1" w:val="04A0"/>
      </w:tblPr>
      <w:tblGrid>
        <w:gridCol w:w="9936"/>
      </w:tblGrid>
      <w:tr>
        <w:tc>
          <w:tcPr>
            <w:tcW w:type="dxa" w:w="9792"/>
            <w:shd w:fill="F8FAFC"/>
            <w:tcBorders>
              <w:top w:val="none"/>
              <w:left w:val="single" w:sz="28" w:space="0" w:color="1E3A8A"/>
              <w:bottom w:val="none"/>
              <w:right w:val="none"/>
            </w:tcBorders>
            <w:tcMar>
              <w:top w:w="140" w:type="dxa"/>
              <w:bottom w:w="160" w:type="dxa"/>
              <w:left w:w="200" w:type="dxa"/>
              <w:right w:w="200" w:type="dxa"/>
            </w:tcMar>
          </w:tcPr>
          <w:p>
            <w:pPr>
              <w:spacing w:before="0" w:after="120"/>
            </w:pPr>
            <w:r>
              <w:rPr>
                <w:rFonts w:ascii="Segoe UI" w:hAnsi="Segoe UI"/>
                <w:b/>
                <w:color w:val="0F172A"/>
                <w:sz w:val="24"/>
              </w:rPr>
              <w:t>3. Comparison of Performance Metrics</w:t>
            </w:r>
          </w:p>
          <w:p>
            <w:pPr>
              <w:spacing w:line="288" w:lineRule="auto" w:after="120"/>
            </w:pPr>
            <w:r>
              <w:rPr>
                <w:i/>
              </w:rPr>
              <w:t>Four distinct stages of classification models were implemented, tested, and evaluated:</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1E3A8A"/>
                  <w:tcMar>
                    <w:top w:w="100" w:type="dxa"/>
                    <w:bottom w:w="100" w:type="dxa"/>
                    <w:left w:w="140" w:type="dxa"/>
                    <w:right w:w="140" w:type="dxa"/>
                  </w:tcMar>
                  <w:tcBorders>
                    <w:top w:val="single" w:sz="6" w:space="0" w:color="94A3B8"/>
                    <w:left w:val="single" w:sz="6" w:space="0" w:color="94A3B8"/>
                    <w:bottom w:val="single" w:sz="6" w:space="0" w:color="94A3B8"/>
                    <w:right w:val="single" w:sz="6" w:space="0" w:color="94A3B8"/>
                  </w:tcBorders>
                </w:tcPr>
                <w:p>
                  <w:pPr>
                    <w:jc w:val="center"/>
                  </w:pPr>
                  <w:r>
                    <w:t>Model Name</w:t>
                  </w:r>
                </w:p>
              </w:tc>
              <w:tc>
                <w:tcPr>
                  <w:tcW w:type="dxa" w:w="1958"/>
                  <w:shd w:fill="1E3A8A"/>
                  <w:tcMar>
                    <w:top w:w="100" w:type="dxa"/>
                    <w:bottom w:w="100" w:type="dxa"/>
                    <w:left w:w="140" w:type="dxa"/>
                    <w:right w:w="140" w:type="dxa"/>
                  </w:tcMar>
                  <w:tcBorders>
                    <w:top w:val="single" w:sz="6" w:space="0" w:color="94A3B8"/>
                    <w:left w:val="single" w:sz="6" w:space="0" w:color="94A3B8"/>
                    <w:bottom w:val="single" w:sz="6" w:space="0" w:color="94A3B8"/>
                    <w:right w:val="single" w:sz="6" w:space="0" w:color="94A3B8"/>
                  </w:tcBorders>
                </w:tcPr>
                <w:p>
                  <w:pPr>
                    <w:jc w:val="center"/>
                  </w:pPr>
                  <w:r>
                    <w:t>Test Accuracy</w:t>
                  </w:r>
                </w:p>
              </w:tc>
              <w:tc>
                <w:tcPr>
                  <w:tcW w:type="dxa" w:w="1958"/>
                  <w:shd w:fill="1E3A8A"/>
                  <w:tcMar>
                    <w:top w:w="100" w:type="dxa"/>
                    <w:bottom w:w="100" w:type="dxa"/>
                    <w:left w:w="140" w:type="dxa"/>
                    <w:right w:w="140" w:type="dxa"/>
                  </w:tcMar>
                  <w:tcBorders>
                    <w:top w:val="single" w:sz="6" w:space="0" w:color="94A3B8"/>
                    <w:left w:val="single" w:sz="6" w:space="0" w:color="94A3B8"/>
                    <w:bottom w:val="single" w:sz="6" w:space="0" w:color="94A3B8"/>
                    <w:right w:val="single" w:sz="6" w:space="0" w:color="94A3B8"/>
                  </w:tcBorders>
                </w:tcPr>
                <w:p>
                  <w:pPr>
                    <w:jc w:val="center"/>
                  </w:pPr>
                  <w:r>
                    <w:t>Recall (Class 1)</w:t>
                  </w:r>
                </w:p>
              </w:tc>
              <w:tc>
                <w:tcPr>
                  <w:tcW w:type="dxa" w:w="1958"/>
                  <w:shd w:fill="1E3A8A"/>
                  <w:tcMar>
                    <w:top w:w="100" w:type="dxa"/>
                    <w:bottom w:w="100" w:type="dxa"/>
                    <w:left w:w="140" w:type="dxa"/>
                    <w:right w:w="140" w:type="dxa"/>
                  </w:tcMar>
                  <w:tcBorders>
                    <w:top w:val="single" w:sz="6" w:space="0" w:color="94A3B8"/>
                    <w:left w:val="single" w:sz="6" w:space="0" w:color="94A3B8"/>
                    <w:bottom w:val="single" w:sz="6" w:space="0" w:color="94A3B8"/>
                    <w:right w:val="single" w:sz="6" w:space="0" w:color="94A3B8"/>
                  </w:tcBorders>
                </w:tcPr>
                <w:p>
                  <w:pPr>
                    <w:jc w:val="center"/>
                  </w:pPr>
                  <w:r>
                    <w:t>F1-Score</w:t>
                  </w:r>
                </w:p>
              </w:tc>
              <w:tc>
                <w:tcPr>
                  <w:tcW w:type="dxa" w:w="1958"/>
                  <w:shd w:fill="1E3A8A"/>
                  <w:tcMar>
                    <w:top w:w="100" w:type="dxa"/>
                    <w:bottom w:w="100" w:type="dxa"/>
                    <w:left w:w="140" w:type="dxa"/>
                    <w:right w:w="140" w:type="dxa"/>
                  </w:tcMar>
                  <w:tcBorders>
                    <w:top w:val="single" w:sz="6" w:space="0" w:color="94A3B8"/>
                    <w:left w:val="single" w:sz="6" w:space="0" w:color="94A3B8"/>
                    <w:bottom w:val="single" w:sz="6" w:space="0" w:color="94A3B8"/>
                    <w:right w:val="single" w:sz="6" w:space="0" w:color="94A3B8"/>
                  </w:tcBorders>
                </w:tcPr>
                <w:p>
                  <w:pPr>
                    <w:jc w:val="center"/>
                  </w:pPr>
                  <w:r>
                    <w:t>AUC-ROC</w:t>
                  </w:r>
                </w:p>
              </w:tc>
            </w:tr>
            <w:tr>
              <w:tc>
                <w:tcPr>
                  <w:tcW w:type="dxa" w:w="195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left"/>
                  </w:pPr>
                  <w:r>
                    <w:t>Logistic Regression (Baseline)</w:t>
                  </w:r>
                </w:p>
              </w:tc>
              <w:tc>
                <w:tcPr>
                  <w:tcW w:type="dxa" w:w="195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0.9837</w:t>
                  </w:r>
                </w:p>
              </w:tc>
              <w:tc>
                <w:tcPr>
                  <w:tcW w:type="dxa" w:w="195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0.9113</w:t>
                  </w:r>
                </w:p>
              </w:tc>
              <w:tc>
                <w:tcPr>
                  <w:tcW w:type="dxa" w:w="195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0.9378</w:t>
                  </w:r>
                </w:p>
              </w:tc>
              <w:tc>
                <w:tcPr>
                  <w:tcW w:type="dxa" w:w="195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0.9948</w:t>
                  </w:r>
                </w:p>
              </w:tc>
            </w:tr>
            <w:tr>
              <w:tc>
                <w:tcPr>
                  <w:tcW w:type="dxa" w:w="1958"/>
                  <w:shd w:fill="F8FAFC"/>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left"/>
                  </w:pPr>
                  <w:r>
                    <w:t>Decision Tree (Entropy, Depth=5)</w:t>
                  </w:r>
                </w:p>
              </w:tc>
              <w:tc>
                <w:tcPr>
                  <w:tcW w:type="dxa" w:w="1958"/>
                  <w:shd w:fill="F8FAFC"/>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0.9761</w:t>
                  </w:r>
                </w:p>
              </w:tc>
              <w:tc>
                <w:tcPr>
                  <w:tcW w:type="dxa" w:w="1958"/>
                  <w:shd w:fill="F8FAFC"/>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0.8871</w:t>
                  </w:r>
                </w:p>
              </w:tc>
              <w:tc>
                <w:tcPr>
                  <w:tcW w:type="dxa" w:w="1958"/>
                  <w:shd w:fill="F8FAFC"/>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0.9091</w:t>
                  </w:r>
                </w:p>
              </w:tc>
              <w:tc>
                <w:tcPr>
                  <w:tcW w:type="dxa" w:w="1958"/>
                  <w:shd w:fill="F8FAFC"/>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0.9832</w:t>
                  </w:r>
                </w:p>
              </w:tc>
            </w:tr>
            <w:tr>
              <w:tc>
                <w:tcPr>
                  <w:tcW w:type="dxa" w:w="195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left"/>
                  </w:pPr>
                  <w:r>
                    <w:t>Random Forest (Untuned Default)</w:t>
                  </w:r>
                </w:p>
              </w:tc>
              <w:tc>
                <w:tcPr>
                  <w:tcW w:type="dxa" w:w="195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0.9870</w:t>
                  </w:r>
                </w:p>
              </w:tc>
              <w:tc>
                <w:tcPr>
                  <w:tcW w:type="dxa" w:w="195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0.9032</w:t>
                  </w:r>
                </w:p>
              </w:tc>
              <w:tc>
                <w:tcPr>
                  <w:tcW w:type="dxa" w:w="195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0.9492</w:t>
                  </w:r>
                </w:p>
              </w:tc>
              <w:tc>
                <w:tcPr>
                  <w:tcW w:type="dxa" w:w="1958"/>
                  <w:shd w:fill="FFFFFF"/>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0.9991</w:t>
                  </w:r>
                </w:p>
              </w:tc>
            </w:tr>
            <w:tr>
              <w:tc>
                <w:tcPr>
                  <w:tcW w:type="dxa" w:w="1958"/>
                  <w:shd w:fill="F8FAFC"/>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left"/>
                  </w:pPr>
                  <w:r>
                    <w:t>Random Forest (GridSearch Tuned)</w:t>
                  </w:r>
                </w:p>
              </w:tc>
              <w:tc>
                <w:tcPr>
                  <w:tcW w:type="dxa" w:w="1958"/>
                  <w:shd w:fill="F8FAFC"/>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0.9924</w:t>
                  </w:r>
                </w:p>
              </w:tc>
              <w:tc>
                <w:tcPr>
                  <w:tcW w:type="dxa" w:w="1958"/>
                  <w:shd w:fill="F8FAFC"/>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0.9516</w:t>
                  </w:r>
                </w:p>
              </w:tc>
              <w:tc>
                <w:tcPr>
                  <w:tcW w:type="dxa" w:w="1958"/>
                  <w:shd w:fill="F8FAFC"/>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0.9712</w:t>
                  </w:r>
                </w:p>
              </w:tc>
              <w:tc>
                <w:tcPr>
                  <w:tcW w:type="dxa" w:w="1958"/>
                  <w:shd w:fill="F8FAFC"/>
                  <w:tcMar>
                    <w:top w:w="80" w:type="dxa"/>
                    <w:bottom w:w="80" w:type="dxa"/>
                    <w:left w:w="140" w:type="dxa"/>
                    <w:right w:w="140" w:type="dxa"/>
                  </w:tcMar>
                  <w:tcBorders>
                    <w:top w:val="single" w:sz="6" w:space="0" w:color="E2E8F0"/>
                    <w:left w:val="single" w:sz="6" w:space="0" w:color="E2E8F0"/>
                    <w:bottom w:val="single" w:sz="6" w:space="0" w:color="E2E8F0"/>
                    <w:right w:val="single" w:sz="6" w:space="0" w:color="E2E8F0"/>
                  </w:tcBorders>
                </w:tcPr>
                <w:p>
                  <w:pPr>
                    <w:jc w:val="center"/>
                  </w:pPr>
                  <w:r>
                    <w:t>0.9997</w:t>
                  </w:r>
                </w:p>
              </w:tc>
            </w:tr>
          </w:tbl>
          <w:p/>
          <w:p>
            <w:pPr>
              <w:spacing w:line="288" w:lineRule="auto" w:before="160" w:after="40"/>
            </w:pPr>
            <w:r>
              <w:rPr>
                <w:b/>
              </w:rPr>
              <w:t xml:space="preserve">• Key Finding: </w:t>
            </w:r>
            <w:r>
              <w:t>The single Decision Tree suffered from moderate variance and lowest AUC (0.9832). Tuned Random Forest clearly dominated across every evaluation dimension, boosting test accuracy to 99.24% and Recall to 95.16%.</w:t>
            </w:r>
          </w:p>
        </w:tc>
      </w:tr>
    </w:tbl>
    <w:p>
      <w:pPr>
        <w:spacing w:before="0" w:after="160"/>
      </w:pPr>
    </w:p>
    <w:tbl>
      <w:tblPr>
        <w:tblW w:type="auto" w:w="0"/>
        <w:jc w:val="center"/>
        <w:tblLook w:firstColumn="1" w:firstRow="1" w:lastColumn="0" w:lastRow="0" w:noHBand="0" w:noVBand="1" w:val="04A0"/>
      </w:tblPr>
      <w:tblGrid>
        <w:gridCol w:w="9936"/>
      </w:tblGrid>
      <w:tr>
        <w:tc>
          <w:tcPr>
            <w:tcW w:type="dxa" w:w="9792"/>
            <w:shd w:fill="F8FAFC"/>
            <w:tcBorders>
              <w:top w:val="none"/>
              <w:left w:val="single" w:sz="28" w:space="0" w:color="D97706"/>
              <w:bottom w:val="none"/>
              <w:right w:val="none"/>
            </w:tcBorders>
            <w:tcMar>
              <w:top w:w="140" w:type="dxa"/>
              <w:bottom w:w="160" w:type="dxa"/>
              <w:left w:w="200" w:type="dxa"/>
              <w:right w:w="200" w:type="dxa"/>
            </w:tcMar>
          </w:tcPr>
          <w:p>
            <w:pPr>
              <w:spacing w:before="0" w:after="120"/>
            </w:pPr>
            <w:r>
              <w:rPr>
                <w:rFonts w:ascii="Segoe UI" w:hAnsi="Segoe UI"/>
                <w:b/>
                <w:color w:val="0F172A"/>
                <w:sz w:val="24"/>
              </w:rPr>
              <w:t>4. Business Interpretation of False Positives &amp; False Negatives</w:t>
            </w:r>
          </w:p>
          <w:p>
            <w:pPr>
              <w:spacing w:line="288" w:lineRule="auto" w:after="120"/>
            </w:pPr>
            <w:r>
              <w:t>In an operational Risk Alert Classification system, misclassifications carry vastly asymmetric financial and business costs:</w:t>
            </w:r>
          </w:p>
          <w:p>
            <w:pPr>
              <w:spacing w:line="276" w:lineRule="auto" w:after="80"/>
              <w:ind w:left="288"/>
            </w:pPr>
            <w:r>
              <w:rPr>
                <w:b/>
              </w:rPr>
              <w:t xml:space="preserve">▪ False Positive (Type-I Error / False Alarm): </w:t>
            </w:r>
            <w:r>
              <w:t>A safe, normal event is incorrectly classified as a high-risk alert. Business impact includes brief employee investigation, slight verification delay for customers, and minor operational overhead. Crucially, no actual financial loss or security hazard takes place.</w:t>
            </w:r>
          </w:p>
          <w:p>
            <w:pPr>
              <w:spacing w:line="276" w:lineRule="auto" w:after="80"/>
              <w:ind w:left="288"/>
            </w:pPr>
            <w:r>
              <w:rPr>
                <w:b/>
              </w:rPr>
              <w:t xml:space="preserve">▪ False Negative (Type-II Error / Missed Danger): </w:t>
            </w:r>
            <w:r>
              <w:t>A genuine high-risk event (fraudulent transaction, equipment failure, safety breach) is predicted as safe. Business impact is catastrophic: direct financial theft, regulatory fines, system downtime, and brand reputational damage.</w:t>
            </w:r>
          </w:p>
          <w:p>
            <w:pPr>
              <w:spacing w:line="288" w:lineRule="auto" w:before="80" w:after="40"/>
            </w:pPr>
            <w:r>
              <w:rPr>
                <w:b/>
              </w:rPr>
              <w:t xml:space="preserve">• Business Recommendation: </w:t>
            </w:r>
            <w:r>
              <w:t>The business must prioritize minimizing False Negatives (maximizing Recall). The Tuned Random Forest model effectively reduces false negatives from 11 down to very rare occurrences, delivering the safest operational profile.</w:t>
            </w:r>
          </w:p>
        </w:tc>
      </w:tr>
    </w:tbl>
    <w:p>
      <w:pPr>
        <w:spacing w:before="0" w:after="16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