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3864"/>
          <w:sz w:val="52"/>
          <w:szCs w:val="52"/>
        </w:rPr>
        <w:t xml:space="preserve">Phase 2 — Signal Engine</w:t>
      </w:r>
    </w:p>
    <w:p>
      <w:pPr>
        <w:spacing w:after="120"/>
        <w:jc w:val="center"/>
      </w:pPr>
      <w:r>
        <w:rPr>
          <w:rFonts w:ascii="Arial" w:cs="Arial" w:eastAsia="Arial" w:hAnsi="Arial"/>
          <w:i/>
          <w:iCs/>
          <w:color w:val="555555"/>
          <w:sz w:val="28"/>
          <w:szCs w:val="28"/>
        </w:rPr>
        <w:t xml:space="preserve">Systematic Multi-Asset Trading System</w:t>
      </w:r>
    </w:p>
    <w:p>
      <w:pPr>
        <w:spacing w:after="480"/>
        <w:jc w:val="center"/>
      </w:pPr>
      <w:r>
        <w:rPr>
          <w:rFonts w:ascii="Arial" w:cs="Arial" w:eastAsia="Arial" w:hAnsi="Arial"/>
          <w:color w:val="888888"/>
          <w:sz w:val="22"/>
          <w:szCs w:val="22"/>
        </w:rPr>
        <w:t xml:space="preserve">Reference Document  |  May 2026</w:t>
      </w:r>
    </w:p>
    <w:p>
      <w:pPr>
        <w:pStyle w:val="Heading1"/>
      </w:pPr>
      <w:r>
        <w:t xml:space="preserve">1. Overview</w:t>
      </w:r>
    </w:p>
    <w:p>
      <w:pPr>
        <w:spacing w:after="120"/>
      </w:pPr>
      <w:r>
        <w:rPr>
          <w:rFonts w:ascii="Arial" w:cs="Arial" w:eastAsia="Arial" w:hAnsi="Arial"/>
          <w:sz w:val="22"/>
          <w:szCs w:val="22"/>
        </w:rPr>
        <w:t xml:space="preserve">The Signal Engine (Phase 2) transforms cleaned market and macroeconomic data into normalised trading signals in the range [-1, 1]. Each signal encodes a directional view on an instrument or cross-sectional ranking across instruments. Signals are the primary input to the Portfolio Engine.</w:t>
      </w:r>
    </w:p>
    <w:p>
      <w:pPr>
        <w:spacing w:after="120"/>
      </w:pPr>
      <w:r>
        <w:rPr>
          <w:rFonts w:ascii="Arial" w:cs="Arial" w:eastAsia="Arial" w:hAnsi="Arial"/>
          <w:sz w:val="22"/>
          <w:szCs w:val="22"/>
        </w:rPr>
        <w:t xml:space="preserve">Three signals were built in Phase 1 of development:</w:t>
      </w:r>
    </w:p>
    <w:p>
      <w:pPr>
        <w:pStyle w:val="ListParagraph"/>
        <w:numPr>
          <w:ilvl w:val="0"/>
          <w:numId w:val="2"/>
        </w:numPr>
        <w:spacing w:after="80"/>
      </w:pPr>
      <w:r>
        <w:rPr>
          <w:rFonts w:ascii="Arial" w:cs="Arial" w:eastAsia="Arial" w:hAnsi="Arial"/>
          <w:sz w:val="22"/>
          <w:szCs w:val="22"/>
        </w:rPr>
        <w:t xml:space="preserve">FX Carry — cross-sectional interest rate differential ranking across G10 currency pairs</w:t>
      </w:r>
    </w:p>
    <w:p>
      <w:pPr>
        <w:pStyle w:val="ListParagraph"/>
        <w:numPr>
          <w:ilvl w:val="0"/>
          <w:numId w:val="2"/>
        </w:numPr>
        <w:spacing w:after="80"/>
      </w:pPr>
      <w:r>
        <w:rPr>
          <w:rFonts w:ascii="Arial" w:cs="Arial" w:eastAsia="Arial" w:hAnsi="Arial"/>
          <w:sz w:val="22"/>
          <w:szCs w:val="22"/>
        </w:rPr>
        <w:t xml:space="preserve">Rates Trend — moving average crossover on TLT (iShares 20+ Year Treasury ETF)</w:t>
      </w:r>
    </w:p>
    <w:p>
      <w:pPr>
        <w:pStyle w:val="ListParagraph"/>
        <w:numPr>
          <w:ilvl w:val="0"/>
          <w:numId w:val="2"/>
        </w:numPr>
        <w:spacing w:after="80"/>
      </w:pPr>
      <w:r>
        <w:rPr>
          <w:rFonts w:ascii="Arial" w:cs="Arial" w:eastAsia="Arial" w:hAnsi="Arial"/>
          <w:sz w:val="22"/>
          <w:szCs w:val="22"/>
        </w:rPr>
        <w:t xml:space="preserve">Equity Momentum — cross-sectional 12-1 month return ranking across S&amp;P 500 stocks</w:t>
      </w:r>
    </w:p>
    <w:p>
      <w:pPr>
        <w:spacing w:after="80"/>
      </w:pPr>
      <w:r>
        <w:t xml:space="preserve"/>
      </w:r>
    </w:p>
    <w:p>
      <w:pPr>
        <w:pStyle w:val="Heading1"/>
      </w:pPr>
      <w:r>
        <w:t xml:space="preserve">2. Architecture</w:t>
      </w:r>
    </w:p>
    <w:p>
      <w:pPr>
        <w:pStyle w:val="Heading2"/>
      </w:pPr>
      <w:r>
        <w:t xml:space="preserve">2.1 Signal Base Class</w:t>
      </w:r>
    </w:p>
    <w:p>
      <w:pPr>
        <w:spacing w:after="120"/>
      </w:pPr>
      <w:r>
        <w:rPr>
          <w:rFonts w:ascii="Arial" w:cs="Arial" w:eastAsia="Arial" w:hAnsi="Arial"/>
          <w:sz w:val="22"/>
          <w:szCs w:val="22"/>
        </w:rPr>
        <w:t xml:space="preserve">Every signal inherits from the abstract Signal base class defined in src/signals/base.py. The base class enforces a common interface and prevents lookahead bias by design.</w:t>
      </w:r>
    </w:p>
    <w:p>
      <w:pPr>
        <w:spacing w:after="120"/>
      </w:pPr>
      <w:r>
        <w:rPr>
          <w:rFonts w:ascii="Arial" w:cs="Arial" w:eastAsia="Arial" w:hAnsi="Arial"/>
          <w:sz w:val="22"/>
          <w:szCs w:val="22"/>
        </w:rPr>
        <w:t xml:space="preserve">Required class attributes:</w:t>
      </w:r>
    </w:p>
    <w:p>
      <w:pPr>
        <w:pStyle w:val="ListParagraph"/>
        <w:numPr>
          <w:ilvl w:val="0"/>
          <w:numId w:val="2"/>
        </w:numPr>
        <w:spacing w:after="80"/>
      </w:pPr>
      <w:r>
        <w:rPr>
          <w:rFonts w:ascii="Arial" w:cs="Arial" w:eastAsia="Arial" w:hAnsi="Arial"/>
          <w:sz w:val="22"/>
          <w:szCs w:val="22"/>
        </w:rPr>
        <w:t xml:space="preserve">name — unique string identifier (e.g. 'fx_carry')</w:t>
      </w:r>
    </w:p>
    <w:p>
      <w:pPr>
        <w:pStyle w:val="ListParagraph"/>
        <w:numPr>
          <w:ilvl w:val="0"/>
          <w:numId w:val="2"/>
        </w:numPr>
        <w:spacing w:after="80"/>
      </w:pPr>
      <w:r>
        <w:rPr>
          <w:rFonts w:ascii="Arial" w:cs="Arial" w:eastAsia="Arial" w:hAnsi="Arial"/>
          <w:sz w:val="22"/>
          <w:szCs w:val="22"/>
        </w:rPr>
        <w:t xml:space="preserve">asset_class — 'fx', 'rates', or 'equities'</w:t>
      </w:r>
    </w:p>
    <w:p>
      <w:pPr>
        <w:pStyle w:val="ListParagraph"/>
        <w:numPr>
          <w:ilvl w:val="0"/>
          <w:numId w:val="2"/>
        </w:numPr>
        <w:spacing w:after="80"/>
      </w:pPr>
      <w:r>
        <w:rPr>
          <w:rFonts w:ascii="Arial" w:cs="Arial" w:eastAsia="Arial" w:hAnsi="Arial"/>
          <w:sz w:val="22"/>
          <w:szCs w:val="22"/>
        </w:rPr>
        <w:t xml:space="preserve">signal_type — 'carry', 'momentum', 'trend', 'value', 'macro', 'sentiment'</w:t>
      </w:r>
    </w:p>
    <w:p>
      <w:pPr>
        <w:pStyle w:val="ListParagraph"/>
        <w:numPr>
          <w:ilvl w:val="0"/>
          <w:numId w:val="2"/>
        </w:numPr>
        <w:spacing w:after="80"/>
      </w:pPr>
      <w:r>
        <w:rPr>
          <w:rFonts w:ascii="Arial" w:cs="Arial" w:eastAsia="Arial" w:hAnsi="Arial"/>
          <w:sz w:val="22"/>
          <w:szCs w:val="22"/>
        </w:rPr>
        <w:t xml:space="preserve">frequency — 'daily' or 'monthly'</w:t>
      </w:r>
    </w:p>
    <w:p>
      <w:pPr>
        <w:pStyle w:val="ListParagraph"/>
        <w:numPr>
          <w:ilvl w:val="0"/>
          <w:numId w:val="2"/>
        </w:numPr>
        <w:spacing w:after="80"/>
      </w:pPr>
      <w:r>
        <w:rPr>
          <w:rFonts w:ascii="Arial" w:cs="Arial" w:eastAsia="Arial" w:hAnsi="Arial"/>
          <w:sz w:val="22"/>
          <w:szCs w:val="22"/>
        </w:rPr>
        <w:t xml:space="preserve">params — dict of all parameters; no hardcoding in compute()</w:t>
      </w:r>
    </w:p>
    <w:p>
      <w:pPr>
        <w:pStyle w:val="ListParagraph"/>
        <w:numPr>
          <w:ilvl w:val="0"/>
          <w:numId w:val="2"/>
        </w:numPr>
        <w:spacing w:after="80"/>
      </w:pPr>
      <w:r>
        <w:rPr>
          <w:rFonts w:ascii="Arial" w:cs="Arial" w:eastAsia="Arial" w:hAnsi="Arial"/>
          <w:sz w:val="22"/>
          <w:szCs w:val="22"/>
        </w:rPr>
        <w:t xml:space="preserve">required_data — list of ticker or series IDs the signal needs</w:t>
      </w:r>
    </w:p>
    <w:p>
      <w:pPr>
        <w:spacing w:after="80"/>
      </w:pPr>
      <w:r>
        <w:t xml:space="preserve"/>
      </w:r>
    </w:p>
    <w:p>
      <w:pPr>
        <w:spacing w:after="120"/>
      </w:pPr>
      <w:r>
        <w:rPr>
          <w:rFonts w:ascii="Arial" w:cs="Arial" w:eastAsia="Arial" w:hAnsi="Arial"/>
          <w:sz w:val="22"/>
          <w:szCs w:val="22"/>
        </w:rPr>
        <w:t xml:space="preserve">Required methods:</w:t>
      </w:r>
    </w:p>
    <w:p>
      <w:pPr>
        <w:pStyle w:val="ListParagraph"/>
        <w:numPr>
          <w:ilvl w:val="0"/>
          <w:numId w:val="2"/>
        </w:numPr>
        <w:spacing w:after="80"/>
      </w:pPr>
      <w:r>
        <w:rPr>
          <w:rFonts w:ascii="Arial" w:cs="Arial" w:eastAsia="Arial" w:hAnsi="Arial"/>
          <w:sz w:val="22"/>
          <w:szCs w:val="22"/>
        </w:rPr>
        <w:t xml:space="preserve">compute(data) — returns signal Series indexed by (date, asset) or date alone</w:t>
      </w:r>
    </w:p>
    <w:p>
      <w:pPr>
        <w:pStyle w:val="ListParagraph"/>
        <w:numPr>
          <w:ilvl w:val="0"/>
          <w:numId w:val="2"/>
        </w:numPr>
        <w:spacing w:after="80"/>
      </w:pPr>
      <w:r>
        <w:rPr>
          <w:rFonts w:ascii="Arial" w:cs="Arial" w:eastAsia="Arial" w:hAnsi="Arial"/>
          <w:sz w:val="22"/>
          <w:szCs w:val="22"/>
        </w:rPr>
        <w:t xml:space="preserve">normalise(signal) — rolling z-score clipped to [-1, 1], or cross-sectional rank</w:t>
      </w:r>
    </w:p>
    <w:p>
      <w:pPr>
        <w:pStyle w:val="ListParagraph"/>
        <w:numPr>
          <w:ilvl w:val="0"/>
          <w:numId w:val="2"/>
        </w:numPr>
        <w:spacing w:after="80"/>
      </w:pPr>
      <w:r>
        <w:rPr>
          <w:rFonts w:ascii="Arial" w:cs="Arial" w:eastAsia="Arial" w:hAnsi="Arial"/>
          <w:sz w:val="22"/>
          <w:szCs w:val="22"/>
        </w:rPr>
        <w:t xml:space="preserve">evaluate(signal, forward_returns) — returns SignalMetrics dataclass</w:t>
      </w:r>
    </w:p>
    <w:p>
      <w:pPr>
        <w:pStyle w:val="ListParagraph"/>
        <w:numPr>
          <w:ilvl w:val="0"/>
          <w:numId w:val="2"/>
        </w:numPr>
        <w:spacing w:after="80"/>
      </w:pPr>
      <w:r>
        <w:rPr>
          <w:rFonts w:ascii="Arial" w:cs="Arial" w:eastAsia="Arial" w:hAnsi="Arial"/>
          <w:sz w:val="22"/>
          <w:szCs w:val="22"/>
        </w:rPr>
        <w:t xml:space="preserve">get_metadata() — returns full specification dict for logging and reproducibility</w:t>
      </w:r>
    </w:p>
    <w:p>
      <w:pPr>
        <w:spacing w:after="80"/>
      </w:pPr>
      <w:r>
        <w:t xml:space="preserve"/>
      </w:r>
    </w:p>
    <w:p>
      <w:pPr>
        <w:spacing w:after="120"/>
      </w:pPr>
      <w:r>
        <w:rPr>
          <w:rFonts w:ascii="Arial" w:cs="Arial" w:eastAsia="Arial" w:hAnsi="Arial"/>
          <w:sz w:val="22"/>
          <w:szCs w:val="22"/>
        </w:rPr>
        <w:t xml:space="preserve">No-lookahead rule: compute() may only use data with index &lt;= current date. The BacktestEngine enforces this by slicing data to time t before passing to compute(). All signals additionally shift inputs by 1 period internally as a second layer of protection.</w:t>
      </w:r>
    </w:p>
    <w:p>
      <w:pPr>
        <w:spacing w:after="80"/>
      </w:pPr>
      <w:r>
        <w:t xml:space="preserve"/>
      </w:r>
    </w:p>
    <w:p>
      <w:pPr>
        <w:pStyle w:val="Heading2"/>
      </w:pPr>
      <w:r>
        <w:t xml:space="preserve">2.2 Data Flow</w:t>
      </w:r>
    </w:p>
    <w:p>
      <w:pPr>
        <w:spacing w:after="120"/>
      </w:pPr>
      <w:r>
        <w:rPr>
          <w:rFonts w:ascii="Arial" w:cs="Arial" w:eastAsia="Arial" w:hAnsi="Arial"/>
          <w:sz w:val="22"/>
          <w:szCs w:val="22"/>
        </w:rPr>
        <w:t xml:space="preserve">Data enters the signal engine as a dict mapping ticker/series ID to a cleaned DataFrame. The DataFrame contract (from Layer 1 to Layer 2) is:</w:t>
      </w:r>
    </w:p>
    <w:p>
      <w:pPr>
        <w:pStyle w:val="ListParagraph"/>
        <w:numPr>
          <w:ilvl w:val="0"/>
          <w:numId w:val="2"/>
        </w:numPr>
        <w:spacing w:after="80"/>
      </w:pPr>
      <w:r>
        <w:rPr>
          <w:rFonts w:ascii="Arial" w:cs="Arial" w:eastAsia="Arial" w:hAnsi="Arial"/>
          <w:sz w:val="22"/>
          <w:szCs w:val="22"/>
        </w:rPr>
        <w:t xml:space="preserve">index: DatetimeIndex (UTC, daily business days, no gaps)</w:t>
      </w:r>
    </w:p>
    <w:p>
      <w:pPr>
        <w:pStyle w:val="ListParagraph"/>
        <w:numPr>
          <w:ilvl w:val="0"/>
          <w:numId w:val="2"/>
        </w:numPr>
        <w:spacing w:after="80"/>
      </w:pPr>
      <w:r>
        <w:rPr>
          <w:rFonts w:ascii="Arial" w:cs="Arial" w:eastAsia="Arial" w:hAnsi="Arial"/>
          <w:sz w:val="22"/>
          <w:szCs w:val="22"/>
        </w:rPr>
        <w:t xml:space="preserve">columns: at minimum ['close'], optionally ['open', 'high', 'low', 'volume']</w:t>
      </w:r>
    </w:p>
    <w:p>
      <w:pPr>
        <w:pStyle w:val="ListParagraph"/>
        <w:numPr>
          <w:ilvl w:val="0"/>
          <w:numId w:val="2"/>
        </w:numPr>
        <w:spacing w:after="80"/>
      </w:pPr>
      <w:r>
        <w:rPr>
          <w:rFonts w:ascii="Arial" w:cs="Arial" w:eastAsia="Arial" w:hAnsi="Arial"/>
          <w:sz w:val="22"/>
          <w:szCs w:val="22"/>
        </w:rPr>
        <w:t xml:space="preserve">dtypes: float64 for all price and rate columns</w:t>
      </w:r>
    </w:p>
    <w:p>
      <w:pPr>
        <w:pStyle w:val="ListParagraph"/>
        <w:numPr>
          <w:ilvl w:val="0"/>
          <w:numId w:val="2"/>
        </w:numPr>
        <w:spacing w:after="80"/>
      </w:pPr>
      <w:r>
        <w:rPr>
          <w:rFonts w:ascii="Arial" w:cs="Arial" w:eastAsia="Arial" w:hAnsi="Arial"/>
          <w:sz w:val="22"/>
          <w:szCs w:val="22"/>
        </w:rPr>
        <w:t xml:space="preserve">NaN policy: no NaN values (DataCleaner guarantees this before handoff)</w:t>
      </w:r>
    </w:p>
    <w:p>
      <w:pPr>
        <w:pStyle w:val="ListParagraph"/>
        <w:numPr>
          <w:ilvl w:val="0"/>
          <w:numId w:val="2"/>
        </w:numPr>
        <w:spacing w:after="80"/>
      </w:pPr>
      <w:r>
        <w:rPr>
          <w:rFonts w:ascii="Arial" w:cs="Arial" w:eastAsia="Arial" w:hAnsi="Arial"/>
          <w:sz w:val="22"/>
          <w:szCs w:val="22"/>
        </w:rPr>
        <w:t xml:space="preserve">metadata: df.attrs dict with {source, ticker, frequency, clean_version, known_limitations}</w:t>
      </w:r>
    </w:p>
    <w:p>
      <w:pPr>
        <w:spacing w:after="80"/>
      </w:pPr>
      <w:r>
        <w:t xml:space="preserve"/>
      </w:r>
    </w:p>
    <w:p>
      <w:pPr>
        <w:spacing w:after="120"/>
      </w:pPr>
      <w:r>
        <w:rPr>
          <w:rFonts w:ascii="Arial" w:cs="Arial" w:eastAsia="Arial" w:hAnsi="Arial"/>
          <w:sz w:val="22"/>
          <w:szCs w:val="22"/>
        </w:rPr>
        <w:t xml:space="preserve">Signal output contract (Layer 2 to Layer 3):</w:t>
      </w:r>
    </w:p>
    <w:p>
      <w:pPr>
        <w:pStyle w:val="ListParagraph"/>
        <w:numPr>
          <w:ilvl w:val="0"/>
          <w:numId w:val="2"/>
        </w:numPr>
        <w:spacing w:after="80"/>
      </w:pPr>
      <w:r>
        <w:rPr>
          <w:rFonts w:ascii="Arial" w:cs="Arial" w:eastAsia="Arial" w:hAnsi="Arial"/>
          <w:sz w:val="22"/>
          <w:szCs w:val="22"/>
        </w:rPr>
        <w:t xml:space="preserve">Single-asset signals: pd.Series indexed by DatetimeIndex (UTC)</w:t>
      </w:r>
    </w:p>
    <w:p>
      <w:pPr>
        <w:pStyle w:val="ListParagraph"/>
        <w:numPr>
          <w:ilvl w:val="0"/>
          <w:numId w:val="2"/>
        </w:numPr>
        <w:spacing w:after="80"/>
      </w:pPr>
      <w:r>
        <w:rPr>
          <w:rFonts w:ascii="Arial" w:cs="Arial" w:eastAsia="Arial" w:hAnsi="Arial"/>
          <w:sz w:val="22"/>
          <w:szCs w:val="22"/>
        </w:rPr>
        <w:t xml:space="preserve">Multi-asset signals: pd.Series indexed by (date, asset) MultiIndex</w:t>
      </w:r>
    </w:p>
    <w:p>
      <w:pPr>
        <w:pStyle w:val="ListParagraph"/>
        <w:numPr>
          <w:ilvl w:val="0"/>
          <w:numId w:val="2"/>
        </w:numPr>
        <w:spacing w:after="80"/>
      </w:pPr>
      <w:r>
        <w:rPr>
          <w:rFonts w:ascii="Arial" w:cs="Arial" w:eastAsia="Arial" w:hAnsi="Arial"/>
          <w:sz w:val="22"/>
          <w:szCs w:val="22"/>
        </w:rPr>
        <w:t xml:space="preserve">Values: float in [-1, 1] after normalisation</w:t>
      </w:r>
    </w:p>
    <w:p>
      <w:pPr>
        <w:pStyle w:val="ListParagraph"/>
        <w:numPr>
          <w:ilvl w:val="0"/>
          <w:numId w:val="2"/>
        </w:numPr>
        <w:spacing w:after="80"/>
      </w:pPr>
      <w:r>
        <w:rPr>
          <w:rFonts w:ascii="Arial" w:cs="Arial" w:eastAsia="Arial" w:hAnsi="Arial"/>
          <w:sz w:val="22"/>
          <w:szCs w:val="22"/>
        </w:rPr>
        <w:t xml:space="preserve">name attribute: signal identifier string (e.g. 'fx_carry_g10')</w:t>
      </w:r>
    </w:p>
    <w:p>
      <w:pPr>
        <w:pStyle w:val="ListParagraph"/>
        <w:numPr>
          <w:ilvl w:val="0"/>
          <w:numId w:val="2"/>
        </w:numPr>
        <w:spacing w:after="80"/>
      </w:pPr>
      <w:r>
        <w:rPr>
          <w:rFonts w:ascii="Arial" w:cs="Arial" w:eastAsia="Arial" w:hAnsi="Arial"/>
          <w:sz w:val="22"/>
          <w:szCs w:val="22"/>
        </w:rPr>
        <w:t xml:space="preserve">attrs: {asset_class, signal_type, last_evaluated, icir, dsr}</w:t>
      </w:r>
    </w:p>
    <w:p>
      <w:pPr>
        <w:spacing w:after="80"/>
      </w:pPr>
      <w:r>
        <w:t xml:space="preserve"/>
      </w:r>
    </w:p>
    <w:p>
      <w:pPr>
        <w:pStyle w:val="Heading1"/>
      </w:pPr>
      <w:r>
        <w:t xml:space="preserve">3. FX Carry Signal</w:t>
      </w:r>
    </w:p>
    <w:p>
      <w:pPr>
        <w:pStyle w:val="Heading2"/>
      </w:pPr>
      <w:r>
        <w:t xml:space="preserve">3.1 Economic Rationale</w:t>
      </w:r>
    </w:p>
    <w:p>
      <w:pPr>
        <w:spacing w:after="120"/>
      </w:pPr>
      <w:r>
        <w:rPr>
          <w:rFonts w:ascii="Arial" w:cs="Arial" w:eastAsia="Arial" w:hAnsi="Arial"/>
          <w:sz w:val="22"/>
          <w:szCs w:val="22"/>
        </w:rPr>
        <w:t xml:space="preserve">The FX carry trade exploits the interest rate differential between currencies. Uncovered Interest Parity (UIP) predicts that high-yielding currencies should depreciate to offset the rate advantage, but empirical evidence consistently shows this prediction fails — high-yielding currencies tend to appreciate or remain stable over medium horizons. This is the 'carry trade' or 'forward premium puzzle', one of the most documented anomalies in international finance.</w:t>
      </w:r>
    </w:p>
    <w:p>
      <w:pPr>
        <w:spacing w:after="120"/>
      </w:pPr>
      <w:r>
        <w:rPr>
          <w:rFonts w:ascii="Arial" w:cs="Arial" w:eastAsia="Arial" w:hAnsi="Arial"/>
          <w:sz w:val="22"/>
          <w:szCs w:val="22"/>
        </w:rPr>
        <w:t xml:space="preserve">The signal goes long currencies with high interest rates and short currencies with low interest rates, with the expectation that the rate differential will generate positive returns net of exchange rate moves.</w:t>
      </w:r>
    </w:p>
    <w:p>
      <w:pPr>
        <w:spacing w:after="80"/>
      </w:pPr>
      <w:r>
        <w:t xml:space="preserve"/>
      </w:r>
    </w:p>
    <w:p>
      <w:pPr>
        <w:pStyle w:val="Heading2"/>
      </w:pPr>
      <w:r>
        <w:t xml:space="preserve">3.2 Signal Construction</w:t>
      </w:r>
    </w:p>
    <w:p>
      <w:pPr>
        <w:spacing w:after="120"/>
      </w:pPr>
      <w:r>
        <w:rPr>
          <w:rFonts w:ascii="Arial" w:cs="Arial" w:eastAsia="Arial" w:hAnsi="Arial"/>
          <w:sz w:val="22"/>
          <w:szCs w:val="22"/>
        </w:rPr>
        <w:t xml:space="preserve">Step 1 — Source interest rate data for each currency from FRED:</w:t>
      </w:r>
    </w:p>
    <w:p>
      <w:pPr>
        <w:shd w:fill="EEF2F7" w:val="clear"/>
        <w:spacing w:after="80" w:before="80"/>
        <w:ind w:left="720"/>
      </w:pPr>
      <w:r>
        <w:rPr>
          <w:rFonts w:ascii="Courier New" w:cs="Courier New" w:eastAsia="Courier New" w:hAnsi="Courier New"/>
          <w:color w:val="1F3864"/>
          <w:sz w:val="22"/>
          <w:szCs w:val="22"/>
        </w:rPr>
        <w:t xml:space="preserve">  rate[ccy] = 3-month interbank rate for currency ccy (e.g. DFF for USD, IR3TIB01EZM156N for EUR)</w:t>
      </w:r>
    </w:p>
    <w:p>
      <w:pPr>
        <w:spacing w:after="80"/>
      </w:pPr>
      <w:r>
        <w:t xml:space="preserve"/>
      </w:r>
    </w:p>
    <w:p>
      <w:pPr>
        <w:spacing w:after="120"/>
      </w:pPr>
      <w:r>
        <w:rPr>
          <w:rFonts w:ascii="Arial" w:cs="Arial" w:eastAsia="Arial" w:hAnsi="Arial"/>
          <w:sz w:val="22"/>
          <w:szCs w:val="22"/>
        </w:rPr>
        <w:t xml:space="preserve">Step 2 — Compute rate differential for each currency pair (base/quote):</w:t>
      </w:r>
    </w:p>
    <w:p>
      <w:pPr>
        <w:shd w:fill="EEF2F7" w:val="clear"/>
        <w:spacing w:after="80" w:before="80"/>
        <w:ind w:left="720"/>
      </w:pPr>
      <w:r>
        <w:rPr>
          <w:rFonts w:ascii="Courier New" w:cs="Courier New" w:eastAsia="Courier New" w:hAnsi="Courier New"/>
          <w:color w:val="1F3864"/>
          <w:sz w:val="22"/>
          <w:szCs w:val="22"/>
        </w:rPr>
        <w:t xml:space="preserve">  diff[base/quote](t) = rate[base](t-1) - rate[quote](t-1)</w:t>
      </w:r>
    </w:p>
    <w:p>
      <w:pPr>
        <w:spacing w:after="120"/>
        <w:ind w:left="360"/>
      </w:pPr>
      <w:r>
        <w:rPr>
          <w:rFonts w:ascii="Arial" w:cs="Arial" w:eastAsia="Arial" w:hAnsi="Arial"/>
          <w:i/>
          <w:iCs/>
          <w:color w:val="555555"/>
          <w:sz w:val="20"/>
          <w:szCs w:val="20"/>
        </w:rPr>
        <w:t xml:space="preserve">Note: The t-1 shift enforces no-lookahead bias — signal at time t uses rates available at t-1.</w:t>
      </w:r>
    </w:p>
    <w:p>
      <w:pPr>
        <w:spacing w:after="80"/>
      </w:pPr>
      <w:r>
        <w:t xml:space="preserve"/>
      </w:r>
    </w:p>
    <w:p>
      <w:pPr>
        <w:spacing w:after="120"/>
      </w:pPr>
      <w:r>
        <w:rPr>
          <w:rFonts w:ascii="Arial" w:cs="Arial" w:eastAsia="Arial" w:hAnsi="Arial"/>
          <w:sz w:val="22"/>
          <w:szCs w:val="22"/>
        </w:rPr>
        <w:t xml:space="preserve">Step 3 — Optionally smooth differentials:</w:t>
      </w:r>
    </w:p>
    <w:p>
      <w:pPr>
        <w:shd w:fill="EEF2F7" w:val="clear"/>
        <w:spacing w:after="80" w:before="80"/>
        <w:ind w:left="720"/>
      </w:pPr>
      <w:r>
        <w:rPr>
          <w:rFonts w:ascii="Courier New" w:cs="Courier New" w:eastAsia="Courier New" w:hAnsi="Courier New"/>
          <w:color w:val="1F3864"/>
          <w:sz w:val="22"/>
          <w:szCs w:val="22"/>
        </w:rPr>
        <w:t xml:space="preserve">  diff_smooth[pair](t) = rolling_mean(diff[pair], window=lookback_smooth)</w:t>
      </w:r>
    </w:p>
    <w:p>
      <w:pPr>
        <w:spacing w:after="80"/>
      </w:pPr>
      <w:r>
        <w:t xml:space="preserve"/>
      </w:r>
    </w:p>
    <w:p>
      <w:pPr>
        <w:spacing w:after="120"/>
      </w:pPr>
      <w:r>
        <w:rPr>
          <w:rFonts w:ascii="Arial" w:cs="Arial" w:eastAsia="Arial" w:hAnsi="Arial"/>
          <w:sz w:val="22"/>
          <w:szCs w:val="22"/>
        </w:rPr>
        <w:t xml:space="preserve">Step 4 — Cross-sectional rank across all pairs at each date:</w:t>
      </w:r>
    </w:p>
    <w:p>
      <w:pPr>
        <w:shd w:fill="EEF2F7" w:val="clear"/>
        <w:spacing w:after="80" w:before="80"/>
        <w:ind w:left="720"/>
      </w:pPr>
      <w:r>
        <w:rPr>
          <w:rFonts w:ascii="Courier New" w:cs="Courier New" w:eastAsia="Courier New" w:hAnsi="Courier New"/>
          <w:color w:val="1F3864"/>
          <w:sz w:val="22"/>
          <w:szCs w:val="22"/>
        </w:rPr>
        <w:t xml:space="preserve">  rank_pct[pair](t) = percentile_rank(diff_smooth[pair](t), all pairs at t)</w:t>
      </w:r>
    </w:p>
    <w:p>
      <w:pPr>
        <w:shd w:fill="EEF2F7" w:val="clear"/>
        <w:spacing w:after="80" w:before="80"/>
        <w:ind w:left="720"/>
      </w:pPr>
      <w:r>
        <w:rPr>
          <w:rFonts w:ascii="Courier New" w:cs="Courier New" w:eastAsia="Courier New" w:hAnsi="Courier New"/>
          <w:color w:val="1F3864"/>
          <w:sz w:val="22"/>
          <w:szCs w:val="22"/>
        </w:rPr>
        <w:t xml:space="preserve">  scaled[pair](t) = rank_pct[pair](t) * 2 - 1   =&gt;  range [-1, 1]</w:t>
      </w:r>
    </w:p>
    <w:p>
      <w:pPr>
        <w:spacing w:after="80"/>
      </w:pPr>
      <w:r>
        <w:t xml:space="preserve"/>
      </w:r>
    </w:p>
    <w:p>
      <w:pPr>
        <w:spacing w:after="120"/>
      </w:pPr>
      <w:r>
        <w:rPr>
          <w:rFonts w:ascii="Arial" w:cs="Arial" w:eastAsia="Arial" w:hAnsi="Arial"/>
          <w:sz w:val="22"/>
          <w:szCs w:val="22"/>
        </w:rPr>
        <w:t xml:space="preserve">Step 5 — Long top n_long pairs, short bottom n_short pairs, zero all others:</w:t>
      </w:r>
    </w:p>
    <w:p>
      <w:pPr>
        <w:shd w:fill="EEF2F7" w:val="clear"/>
        <w:spacing w:after="80" w:before="80"/>
        <w:ind w:left="720"/>
      </w:pPr>
      <w:r>
        <w:rPr>
          <w:rFonts w:ascii="Courier New" w:cs="Courier New" w:eastAsia="Courier New" w:hAnsi="Courier New"/>
          <w:color w:val="1F3864"/>
          <w:sz w:val="22"/>
          <w:szCs w:val="22"/>
        </w:rPr>
        <w:t xml:space="preserve">  signal[pair](t) = scaled[pair](t)  if pair in top n_long or bottom n_short</w:t>
      </w:r>
    </w:p>
    <w:p>
      <w:pPr>
        <w:shd w:fill="EEF2F7" w:val="clear"/>
        <w:spacing w:after="80" w:before="80"/>
        <w:ind w:left="720"/>
      </w:pPr>
      <w:r>
        <w:rPr>
          <w:rFonts w:ascii="Courier New" w:cs="Courier New" w:eastAsia="Courier New" w:hAnsi="Courier New"/>
          <w:color w:val="1F3864"/>
          <w:sz w:val="22"/>
          <w:szCs w:val="22"/>
        </w:rPr>
        <w:t xml:space="preserve">  signal[pair](t) = 0                otherwise</w:t>
      </w:r>
    </w:p>
    <w:p>
      <w:pPr>
        <w:spacing w:after="80"/>
      </w:pPr>
      <w:r>
        <w:t xml:space="preserve"/>
      </w:r>
    </w:p>
    <w:p>
      <w:pPr>
        <w:pStyle w:val="Heading2"/>
      </w:pPr>
      <w:r>
        <w:t xml:space="preserve">3.3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2E4B7A" w:sz="1"/>
              <w:left w:val="single" w:color="2E4B7A" w:sz="1"/>
              <w:bottom w:val="single" w:color="2E4B7A" w:sz="1"/>
              <w:right w:val="single" w:color="2E4B7A" w:sz="1"/>
            </w:tcBorders>
            <w:shd w:fill="2E4B7A"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800"/>
            <w:tcBorders>
              <w:top w:val="single" w:color="2E4B7A" w:sz="1"/>
              <w:left w:val="single" w:color="2E4B7A" w:sz="1"/>
              <w:bottom w:val="single" w:color="2E4B7A" w:sz="1"/>
              <w:right w:val="single" w:color="2E4B7A" w:sz="1"/>
            </w:tcBorders>
            <w:shd w:fill="2E4B7A"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4760"/>
            <w:tcBorders>
              <w:top w:val="single" w:color="2E4B7A" w:sz="1"/>
              <w:left w:val="single" w:color="2E4B7A" w:sz="1"/>
              <w:bottom w:val="single" w:color="2E4B7A" w:sz="1"/>
              <w:right w:val="single" w:color="2E4B7A" w:sz="1"/>
            </w:tcBorders>
            <w:shd w:fill="2E4B7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rate_series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{USD: DFF, EUR: ..., GBP: ...}</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Mapping of currency to FRED series ID</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lookback_smooth</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w:t>
            </w:r>
          </w:p>
        </w:tc>
        <w:tc>
          <w:tcPr>
            <w:tcW w:type="dxa" w:w="4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Days to smooth rate differential (1 = no smoothing)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n_long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 of pairs to hold long</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n_short</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2</w:t>
            </w:r>
          </w:p>
        </w:tc>
        <w:tc>
          <w:tcPr>
            <w:tcW w:type="dxa" w:w="4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Number of pairs to hold short</w:t>
            </w:r>
          </w:p>
        </w:tc>
      </w:tr>
    </w:tbl>
    <w:p>
      <w:pPr>
        <w:spacing w:after="80"/>
      </w:pPr>
      <w:r>
        <w:t xml:space="preserve"/>
      </w:r>
    </w:p>
    <w:p>
      <w:pPr>
        <w:pStyle w:val="Heading2"/>
      </w:pPr>
      <w:r>
        <w:t xml:space="preserve">3.4 Known Limitations</w:t>
      </w:r>
    </w:p>
    <w:p>
      <w:pPr>
        <w:pStyle w:val="ListParagraph"/>
        <w:numPr>
          <w:ilvl w:val="0"/>
          <w:numId w:val="2"/>
        </w:numPr>
        <w:spacing w:after="80"/>
      </w:pPr>
      <w:r>
        <w:rPr>
          <w:rFonts w:ascii="Arial" w:cs="Arial" w:eastAsia="Arial" w:hAnsi="Arial"/>
          <w:sz w:val="22"/>
          <w:szCs w:val="22"/>
        </w:rPr>
        <w:t xml:space="preserve">Rate differential is a proxy for forward premium — not exact. True carry requires FX forward rates.</w:t>
      </w:r>
    </w:p>
    <w:p>
      <w:pPr>
        <w:pStyle w:val="ListParagraph"/>
        <w:numPr>
          <w:ilvl w:val="0"/>
          <w:numId w:val="2"/>
        </w:numPr>
        <w:spacing w:after="80"/>
      </w:pPr>
      <w:r>
        <w:rPr>
          <w:rFonts w:ascii="Arial" w:cs="Arial" w:eastAsia="Arial" w:hAnsi="Arial"/>
          <w:sz w:val="22"/>
          <w:szCs w:val="22"/>
        </w:rPr>
        <w:t xml:space="preserve">EUR and GBP rate series from FRED are monthly frequency — signal effectively updates once per month.</w:t>
      </w:r>
    </w:p>
    <w:p>
      <w:pPr>
        <w:pStyle w:val="ListParagraph"/>
        <w:numPr>
          <w:ilvl w:val="0"/>
          <w:numId w:val="2"/>
        </w:numPr>
        <w:spacing w:after="80"/>
      </w:pPr>
      <w:r>
        <w:rPr>
          <w:rFonts w:ascii="Arial" w:cs="Arial" w:eastAsia="Arial" w:hAnsi="Arial"/>
          <w:sz w:val="22"/>
          <w:szCs w:val="22"/>
        </w:rPr>
        <w:t xml:space="preserve">Phase 1 cross-section has only 3 currencies (USD/EUR/GBP) — too thin for robust IC.</w:t>
      </w:r>
    </w:p>
    <w:p>
      <w:pPr>
        <w:pStyle w:val="ListParagraph"/>
        <w:numPr>
          <w:ilvl w:val="0"/>
          <w:numId w:val="2"/>
        </w:numPr>
        <w:spacing w:after="80"/>
      </w:pPr>
      <w:r>
        <w:rPr>
          <w:rFonts w:ascii="Arial" w:cs="Arial" w:eastAsia="Arial" w:hAnsi="Arial"/>
          <w:sz w:val="22"/>
          <w:szCs w:val="22"/>
        </w:rPr>
        <w:t xml:space="preserve">Does not include actual FX rollover costs (swap points).</w:t>
      </w:r>
    </w:p>
    <w:p>
      <w:pPr>
        <w:pStyle w:val="ListParagraph"/>
        <w:numPr>
          <w:ilvl w:val="0"/>
          <w:numId w:val="2"/>
        </w:numPr>
        <w:spacing w:after="80"/>
      </w:pPr>
      <w:r>
        <w:rPr>
          <w:rFonts w:ascii="Arial" w:cs="Arial" w:eastAsia="Arial" w:hAnsi="Arial"/>
          <w:sz w:val="22"/>
          <w:szCs w:val="22"/>
        </w:rPr>
        <w:t xml:space="preserve">Survivorship bias: only uses currencies with complete FRED data history.</w:t>
      </w:r>
    </w:p>
    <w:p>
      <w:pPr>
        <w:spacing w:after="80"/>
      </w:pPr>
      <w:r>
        <w:t xml:space="preserve"/>
      </w:r>
    </w:p>
    <w:p>
      <w:pPr>
        <w:pStyle w:val="Heading2"/>
      </w:pPr>
      <w:r>
        <w:t xml:space="preserve">3.5 Phase 1 Evaluation Results</w:t>
      </w:r>
    </w:p>
    <w:p>
      <w:pPr>
        <w:spacing w:after="120"/>
      </w:pPr>
      <w:r>
        <w:rPr>
          <w:rFonts w:ascii="Arial" w:cs="Arial" w:eastAsia="Arial" w:hAnsi="Arial"/>
          <w:sz w:val="22"/>
          <w:szCs w:val="22"/>
        </w:rPr>
        <w:t xml:space="preserve">Evaluated at monthly frequency using Yahoo spot returns as forward return benchmark. Previous evaluation used DFF log returns as proxy — that result was invalid.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2E4B7A" w:sz="1"/>
              <w:left w:val="single" w:color="2E4B7A" w:sz="1"/>
              <w:bottom w:val="single" w:color="2E4B7A" w:sz="1"/>
              <w:right w:val="single" w:color="2E4B7A" w:sz="1"/>
            </w:tcBorders>
            <w:shd w:fill="2E4B7A" w:val="clear"/>
            <w:tcMar>
              <w:top w:type="dxa" w:w="80"/>
              <w:left w:type="dxa" w:w="120"/>
              <w:bottom w:type="dxa" w:w="80"/>
              <w:right w:type="dxa" w:w="120"/>
            </w:tcMar>
          </w:tcPr>
          <w:p>
            <w:r>
              <w:rPr>
                <w:rFonts w:ascii="Arial" w:cs="Arial" w:eastAsia="Arial" w:hAnsi="Arial"/>
                <w:b/>
                <w:bCs/>
                <w:color w:val="FFFFFF"/>
                <w:sz w:val="20"/>
                <w:szCs w:val="20"/>
              </w:rPr>
              <w:t xml:space="preserve">Horizon</w:t>
            </w:r>
          </w:p>
        </w:tc>
        <w:tc>
          <w:tcPr>
            <w:tcW w:type="dxa" w:w="1560"/>
            <w:tcBorders>
              <w:top w:val="single" w:color="2E4B7A" w:sz="1"/>
              <w:left w:val="single" w:color="2E4B7A" w:sz="1"/>
              <w:bottom w:val="single" w:color="2E4B7A" w:sz="1"/>
              <w:right w:val="single" w:color="2E4B7A" w:sz="1"/>
            </w:tcBorders>
            <w:shd w:fill="2E4B7A" w:val="clear"/>
            <w:tcMar>
              <w:top w:type="dxa" w:w="80"/>
              <w:left w:type="dxa" w:w="120"/>
              <w:bottom w:type="dxa" w:w="80"/>
              <w:right w:type="dxa" w:w="120"/>
            </w:tcMar>
          </w:tcPr>
          <w:p>
            <w:r>
              <w:rPr>
                <w:rFonts w:ascii="Arial" w:cs="Arial" w:eastAsia="Arial" w:hAnsi="Arial"/>
                <w:b/>
                <w:bCs/>
                <w:color w:val="FFFFFF"/>
                <w:sz w:val="20"/>
                <w:szCs w:val="20"/>
              </w:rPr>
              <w:t xml:space="preserve">IC Mean</w:t>
            </w:r>
          </w:p>
        </w:tc>
        <w:tc>
          <w:tcPr>
            <w:tcW w:type="dxa" w:w="1560"/>
            <w:tcBorders>
              <w:top w:val="single" w:color="2E4B7A" w:sz="1"/>
              <w:left w:val="single" w:color="2E4B7A" w:sz="1"/>
              <w:bottom w:val="single" w:color="2E4B7A" w:sz="1"/>
              <w:right w:val="single" w:color="2E4B7A" w:sz="1"/>
            </w:tcBorders>
            <w:shd w:fill="2E4B7A" w:val="clear"/>
            <w:tcMar>
              <w:top w:type="dxa" w:w="80"/>
              <w:left w:type="dxa" w:w="120"/>
              <w:bottom w:type="dxa" w:w="80"/>
              <w:right w:type="dxa" w:w="120"/>
            </w:tcMar>
          </w:tcPr>
          <w:p>
            <w:r>
              <w:rPr>
                <w:rFonts w:ascii="Arial" w:cs="Arial" w:eastAsia="Arial" w:hAnsi="Arial"/>
                <w:b/>
                <w:bCs/>
                <w:color w:val="FFFFFF"/>
                <w:sz w:val="20"/>
                <w:szCs w:val="20"/>
              </w:rPr>
              <w:t xml:space="preserve">ICIR</w:t>
            </w:r>
          </w:p>
        </w:tc>
        <w:tc>
          <w:tcPr>
            <w:tcW w:type="dxa" w:w="1560"/>
            <w:tcBorders>
              <w:top w:val="single" w:color="2E4B7A" w:sz="1"/>
              <w:left w:val="single" w:color="2E4B7A" w:sz="1"/>
              <w:bottom w:val="single" w:color="2E4B7A" w:sz="1"/>
              <w:right w:val="single" w:color="2E4B7A" w:sz="1"/>
            </w:tcBorders>
            <w:shd w:fill="2E4B7A" w:val="clear"/>
            <w:tcMar>
              <w:top w:type="dxa" w:w="80"/>
              <w:left w:type="dxa" w:w="120"/>
              <w:bottom w:type="dxa" w:w="80"/>
              <w:right w:type="dxa" w:w="120"/>
            </w:tcMar>
          </w:tcPr>
          <w:p>
            <w:r>
              <w:rPr>
                <w:rFonts w:ascii="Arial" w:cs="Arial" w:eastAsia="Arial" w:hAnsi="Arial"/>
                <w:b/>
                <w:bCs/>
                <w:color w:val="FFFFFF"/>
                <w:sz w:val="20"/>
                <w:szCs w:val="20"/>
              </w:rPr>
              <w:t xml:space="preserve">Hit Rate</w:t>
            </w:r>
          </w:p>
        </w:tc>
        <w:tc>
          <w:tcPr>
            <w:tcW w:type="dxa" w:w="1560"/>
            <w:tcBorders>
              <w:top w:val="single" w:color="2E4B7A" w:sz="1"/>
              <w:left w:val="single" w:color="2E4B7A" w:sz="1"/>
              <w:bottom w:val="single" w:color="2E4B7A" w:sz="1"/>
              <w:right w:val="single" w:color="2E4B7A" w:sz="1"/>
            </w:tcBorders>
            <w:shd w:fill="2E4B7A" w:val="clear"/>
            <w:tcMar>
              <w:top w:type="dxa" w:w="80"/>
              <w:left w:type="dxa" w:w="120"/>
              <w:bottom w:type="dxa" w:w="80"/>
              <w:right w:type="dxa" w:w="120"/>
            </w:tcMar>
          </w:tcPr>
          <w:p>
            <w:r>
              <w:rPr>
                <w:rFonts w:ascii="Arial" w:cs="Arial" w:eastAsia="Arial" w:hAnsi="Arial"/>
                <w:b/>
                <w:bCs/>
                <w:color w:val="FFFFFF"/>
                <w:sz w:val="20"/>
                <w:szCs w:val="20"/>
              </w:rPr>
              <w:t xml:space="preserve">Sharpe</w:t>
            </w:r>
          </w:p>
        </w:tc>
        <w:tc>
          <w:tcPr>
            <w:tcW w:type="dxa" w:w="1560"/>
            <w:tcBorders>
              <w:top w:val="single" w:color="2E4B7A" w:sz="1"/>
              <w:left w:val="single" w:color="2E4B7A" w:sz="1"/>
              <w:bottom w:val="single" w:color="2E4B7A" w:sz="1"/>
              <w:right w:val="single" w:color="2E4B7A" w:sz="1"/>
            </w:tcBorders>
            <w:shd w:fill="2E4B7A" w:val="clear"/>
            <w:tcMar>
              <w:top w:type="dxa" w:w="80"/>
              <w:left w:type="dxa" w:w="120"/>
              <w:bottom w:type="dxa" w:w="80"/>
              <w:right w:type="dxa" w:w="120"/>
            </w:tcMar>
          </w:tcPr>
          <w:p>
            <w:r>
              <w:rPr>
                <w:rFonts w:ascii="Arial" w:cs="Arial" w:eastAsia="Arial" w:hAnsi="Arial"/>
                <w:b/>
                <w:bCs/>
                <w:color w:val="FFFFFF"/>
                <w:sz w:val="20"/>
                <w:szCs w:val="20"/>
              </w:rPr>
              <w:t xml:space="preserve">N</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1m</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-0.0218</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-0.0237</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0.5138</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-1.3872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440</w:t>
            </w:r>
          </w:p>
        </w:tc>
      </w:tr>
      <w:tr>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2m</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0.1239</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0.1345</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0.5463</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-0.1513</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436</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3m</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0.0323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0.0346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0.5187</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-2.2301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428</w:t>
            </w:r>
          </w:p>
        </w:tc>
      </w:tr>
      <w:tr>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6m</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-0.0348</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-0.0369</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0.5048</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-4.1145</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416</w:t>
            </w:r>
          </w:p>
        </w:tc>
      </w:tr>
    </w:tbl>
    <w:p>
      <w:pPr>
        <w:spacing w:after="80"/>
      </w:pPr>
      <w:r>
        <w:t xml:space="preserve"/>
      </w:r>
    </w:p>
    <w:p>
      <w:pPr>
        <w:spacing w:after="120"/>
      </w:pPr>
      <w:r>
        <w:rPr>
          <w:rFonts w:ascii="Arial" w:cs="Arial" w:eastAsia="Arial" w:hAnsi="Arial"/>
          <w:sz w:val="22"/>
          <w:szCs w:val="22"/>
        </w:rPr>
        <w:t xml:space="preserve">Decision: BORDERLINE. Hit rate consistently above 50%. ICIR fails 0.3 threshold due to thin cross-section (3 currencies). Phase 5 upgrade: full G10 (7 currencies).</w:t>
      </w:r>
    </w:p>
    <w:p>
      <w:pPr>
        <w:spacing w:after="80"/>
      </w:pPr>
      <w:r>
        <w:t xml:space="preserve"/>
      </w:r>
    </w:p>
    <w:p>
      <w:pPr>
        <w:pStyle w:val="Heading1"/>
      </w:pPr>
      <w:r>
        <w:t xml:space="preserve">4. Rates Trend Signal</w:t>
      </w:r>
    </w:p>
    <w:p>
      <w:pPr>
        <w:pStyle w:val="Heading2"/>
      </w:pPr>
      <w:r>
        <w:t xml:space="preserve">4.1 Economic Rationale</w:t>
      </w:r>
    </w:p>
    <w:p>
      <w:pPr>
        <w:spacing w:after="120"/>
      </w:pPr>
      <w:r>
        <w:rPr>
          <w:rFonts w:ascii="Arial" w:cs="Arial" w:eastAsia="Arial" w:hAnsi="Arial"/>
          <w:sz w:val="22"/>
          <w:szCs w:val="22"/>
        </w:rPr>
        <w:t xml:space="preserve">Trend-following (time-series momentum) is one of the most robust documented phenomena in financial markets. The signal captures the tendency of asset prices to persist in direction over medium-term horizons (weeks to months). In fixed income, duration trends are driven by sustained monetary policy cycles — rate hike cycles typically last 12-24 months, creating persistent trends in bond prices.</w:t>
      </w:r>
    </w:p>
    <w:p>
      <w:pPr>
        <w:spacing w:after="120"/>
      </w:pPr>
      <w:r>
        <w:rPr>
          <w:rFonts w:ascii="Arial" w:cs="Arial" w:eastAsia="Arial" w:hAnsi="Arial"/>
          <w:sz w:val="22"/>
          <w:szCs w:val="22"/>
        </w:rPr>
        <w:t xml:space="preserve">The signal uses a simple moving average (SMA) crossover: when the fast SMA is above the slow SMA, the price trend is up (buy), and vice versa. This is the simplest possible trend-following rule and serves as a benchmark.</w:t>
      </w:r>
    </w:p>
    <w:p>
      <w:pPr>
        <w:spacing w:after="80"/>
      </w:pPr>
      <w:r>
        <w:t xml:space="preserve"/>
      </w:r>
    </w:p>
    <w:p>
      <w:pPr>
        <w:pStyle w:val="Heading2"/>
      </w:pPr>
      <w:r>
        <w:t xml:space="preserve">4.2 Signal Construction</w:t>
      </w:r>
    </w:p>
    <w:p>
      <w:pPr>
        <w:spacing w:after="120"/>
      </w:pPr>
      <w:r>
        <w:rPr>
          <w:rFonts w:ascii="Arial" w:cs="Arial" w:eastAsia="Arial" w:hAnsi="Arial"/>
          <w:sz w:val="22"/>
          <w:szCs w:val="22"/>
        </w:rPr>
        <w:t xml:space="preserve">Step 1 — Shift price series by 1 period (no-lookahead):</w:t>
      </w:r>
    </w:p>
    <w:p>
      <w:pPr>
        <w:shd w:fill="EEF2F7" w:val="clear"/>
        <w:spacing w:after="80" w:before="80"/>
        <w:ind w:left="720"/>
      </w:pPr>
      <w:r>
        <w:rPr>
          <w:rFonts w:ascii="Courier New" w:cs="Courier New" w:eastAsia="Courier New" w:hAnsi="Courier New"/>
          <w:color w:val="1F3864"/>
          <w:sz w:val="22"/>
          <w:szCs w:val="22"/>
        </w:rPr>
        <w:t xml:space="preserve">  px(t) = close(t-1)</w:t>
      </w:r>
    </w:p>
    <w:p>
      <w:pPr>
        <w:spacing w:after="80"/>
      </w:pPr>
      <w:r>
        <w:t xml:space="preserve"/>
      </w:r>
    </w:p>
    <w:p>
      <w:pPr>
        <w:spacing w:after="120"/>
      </w:pPr>
      <w:r>
        <w:rPr>
          <w:rFonts w:ascii="Arial" w:cs="Arial" w:eastAsia="Arial" w:hAnsi="Arial"/>
          <w:sz w:val="22"/>
          <w:szCs w:val="22"/>
        </w:rPr>
        <w:t xml:space="preserve">Step 2 — Compute fast and slow simple moving averages:</w:t>
      </w:r>
    </w:p>
    <w:p>
      <w:pPr>
        <w:shd w:fill="EEF2F7" w:val="clear"/>
        <w:spacing w:after="80" w:before="80"/>
        <w:ind w:left="720"/>
      </w:pPr>
      <w:r>
        <w:rPr>
          <w:rFonts w:ascii="Courier New" w:cs="Courier New" w:eastAsia="Courier New" w:hAnsi="Courier New"/>
          <w:color w:val="1F3864"/>
          <w:sz w:val="22"/>
          <w:szCs w:val="22"/>
        </w:rPr>
        <w:t xml:space="preserve">  fast_SMA(t) = mean(px(t), px(t-1), ..., px(t-fast_window+1))</w:t>
      </w:r>
    </w:p>
    <w:p>
      <w:pPr>
        <w:shd w:fill="EEF2F7" w:val="clear"/>
        <w:spacing w:after="80" w:before="80"/>
        <w:ind w:left="720"/>
      </w:pPr>
      <w:r>
        <w:rPr>
          <w:rFonts w:ascii="Courier New" w:cs="Courier New" w:eastAsia="Courier New" w:hAnsi="Courier New"/>
          <w:color w:val="1F3864"/>
          <w:sz w:val="22"/>
          <w:szCs w:val="22"/>
        </w:rPr>
        <w:t xml:space="preserve">  slow_SMA(t) = mean(px(t), px(t-1), ..., px(t-slow_window+1))</w:t>
      </w:r>
    </w:p>
    <w:p>
      <w:pPr>
        <w:spacing w:after="80"/>
      </w:pPr>
      <w:r>
        <w:t xml:space="preserve"/>
      </w:r>
    </w:p>
    <w:p>
      <w:pPr>
        <w:spacing w:after="120"/>
      </w:pPr>
      <w:r>
        <w:rPr>
          <w:rFonts w:ascii="Arial" w:cs="Arial" w:eastAsia="Arial" w:hAnsi="Arial"/>
          <w:sz w:val="22"/>
          <w:szCs w:val="22"/>
        </w:rPr>
        <w:t xml:space="preserve">Step 3 — Compute direction signal:</w:t>
      </w:r>
    </w:p>
    <w:p>
      <w:pPr>
        <w:shd w:fill="EEF2F7" w:val="clear"/>
        <w:spacing w:after="80" w:before="80"/>
        <w:ind w:left="720"/>
      </w:pPr>
      <w:r>
        <w:rPr>
          <w:rFonts w:ascii="Courier New" w:cs="Courier New" w:eastAsia="Courier New" w:hAnsi="Courier New"/>
          <w:color w:val="1F3864"/>
          <w:sz w:val="22"/>
          <w:szCs w:val="22"/>
        </w:rPr>
        <w:t xml:space="preserve">  direction(t) = sign(fast_SMA(t) - slow_SMA(t))   =&gt;  {-1, 0, +1}</w:t>
      </w:r>
    </w:p>
    <w:p>
      <w:pPr>
        <w:spacing w:after="80"/>
      </w:pPr>
      <w:r>
        <w:t xml:space="preserve"/>
      </w:r>
    </w:p>
    <w:p>
      <w:pPr>
        <w:spacing w:after="120"/>
      </w:pPr>
      <w:r>
        <w:rPr>
          <w:rFonts w:ascii="Arial" w:cs="Arial" w:eastAsia="Arial" w:hAnsi="Arial"/>
          <w:sz w:val="22"/>
          <w:szCs w:val="22"/>
        </w:rPr>
        <w:t xml:space="preserve">Step 4 — Optional: scale by relative distance between MAs:</w:t>
      </w:r>
    </w:p>
    <w:p>
      <w:pPr>
        <w:shd w:fill="EEF2F7" w:val="clear"/>
        <w:spacing w:after="80" w:before="80"/>
        <w:ind w:left="720"/>
      </w:pPr>
      <w:r>
        <w:rPr>
          <w:rFonts w:ascii="Courier New" w:cs="Courier New" w:eastAsia="Courier New" w:hAnsi="Courier New"/>
          <w:color w:val="1F3864"/>
          <w:sz w:val="22"/>
          <w:szCs w:val="22"/>
        </w:rPr>
        <w:t xml:space="preserve">  rel_dist(t) = (fast_SMA(t) - slow_SMA(t)) / slow_SMA(t)</w:t>
      </w:r>
    </w:p>
    <w:p>
      <w:pPr>
        <w:shd w:fill="EEF2F7" w:val="clear"/>
        <w:spacing w:after="80" w:before="80"/>
        <w:ind w:left="720"/>
      </w:pPr>
      <w:r>
        <w:rPr>
          <w:rFonts w:ascii="Courier New" w:cs="Courier New" w:eastAsia="Courier New" w:hAnsi="Courier New"/>
          <w:color w:val="1F3864"/>
          <w:sz w:val="22"/>
          <w:szCs w:val="22"/>
        </w:rPr>
        <w:t xml:space="preserve">  magnitude(t) = tanh(|rel_dist(t)| * 10)          =&gt;  range [0, 1]</w:t>
      </w:r>
    </w:p>
    <w:p>
      <w:pPr>
        <w:shd w:fill="EEF2F7" w:val="clear"/>
        <w:spacing w:after="80" w:before="80"/>
        <w:ind w:left="720"/>
      </w:pPr>
      <w:r>
        <w:rPr>
          <w:rFonts w:ascii="Courier New" w:cs="Courier New" w:eastAsia="Courier New" w:hAnsi="Courier New"/>
          <w:color w:val="1F3864"/>
          <w:sz w:val="22"/>
          <w:szCs w:val="22"/>
        </w:rPr>
        <w:t xml:space="preserve">  signal(t) = direction(t) * magnitude(t)           =&gt;  range [-1, 1]</w:t>
      </w:r>
    </w:p>
    <w:p>
      <w:pPr>
        <w:spacing w:after="120"/>
      </w:pPr>
      <w:r>
        <w:rPr>
          <w:rFonts w:ascii="Arial" w:cs="Arial" w:eastAsia="Arial" w:hAnsi="Arial"/>
          <w:sz w:val="22"/>
          <w:szCs w:val="22"/>
        </w:rPr>
        <w:t xml:space="preserve">When scale_by_distance=False (default), signal is simply direction(t): {-1, +1}.</w:t>
      </w:r>
    </w:p>
    <w:p>
      <w:pPr>
        <w:spacing w:after="80"/>
      </w:pPr>
      <w:r>
        <w:t xml:space="preserve"/>
      </w:r>
    </w:p>
    <w:p>
      <w:pPr>
        <w:pStyle w:val="Heading2"/>
      </w:pPr>
      <w:r>
        <w:t xml:space="preserve">4.3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2E4B7A" w:sz="1"/>
              <w:left w:val="single" w:color="2E4B7A" w:sz="1"/>
              <w:bottom w:val="single" w:color="2E4B7A" w:sz="1"/>
              <w:right w:val="single" w:color="2E4B7A" w:sz="1"/>
            </w:tcBorders>
            <w:shd w:fill="2E4B7A"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800"/>
            <w:tcBorders>
              <w:top w:val="single" w:color="2E4B7A" w:sz="1"/>
              <w:left w:val="single" w:color="2E4B7A" w:sz="1"/>
              <w:bottom w:val="single" w:color="2E4B7A" w:sz="1"/>
              <w:right w:val="single" w:color="2E4B7A" w:sz="1"/>
            </w:tcBorders>
            <w:shd w:fill="2E4B7A"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4760"/>
            <w:tcBorders>
              <w:top w:val="single" w:color="2E4B7A" w:sz="1"/>
              <w:left w:val="single" w:color="2E4B7A" w:sz="1"/>
              <w:bottom w:val="single" w:color="2E4B7A" w:sz="1"/>
              <w:right w:val="single" w:color="2E4B7A" w:sz="1"/>
            </w:tcBorders>
            <w:shd w:fill="2E4B7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ticker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TLT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ETF to compute trend on</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fast_window</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50</w:t>
            </w:r>
          </w:p>
        </w:tc>
        <w:tc>
          <w:tcPr>
            <w:tcW w:type="dxa" w:w="4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Fast SMA window in trading days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slow_window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Slow SMA window in trading days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scale_by_distance</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False</w:t>
            </w:r>
          </w:p>
        </w:tc>
        <w:tc>
          <w:tcPr>
            <w:tcW w:type="dxa" w:w="4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Whether to scale signal by MA distance</w:t>
            </w:r>
          </w:p>
        </w:tc>
      </w:tr>
    </w:tbl>
    <w:p>
      <w:pPr>
        <w:spacing w:after="80"/>
      </w:pPr>
      <w:r>
        <w:t xml:space="preserve"/>
      </w:r>
    </w:p>
    <w:p>
      <w:pPr>
        <w:spacing w:after="120"/>
        <w:ind w:left="360"/>
      </w:pPr>
      <w:r>
        <w:rPr>
          <w:rFonts w:ascii="Arial" w:cs="Arial" w:eastAsia="Arial" w:hAnsi="Arial"/>
          <w:i/>
          <w:iCs/>
          <w:color w:val="555555"/>
          <w:sz w:val="20"/>
          <w:szCs w:val="20"/>
        </w:rPr>
        <w:t xml:space="preserve">Note: ARCHITECTURE.md requires evaluation across full parameter grid: fast in {20, 50, 100}, slow in {100, 200, 252}. Report results for all 9 combinations, not just the best.</w:t>
      </w:r>
    </w:p>
    <w:p>
      <w:pPr>
        <w:spacing w:after="80"/>
      </w:pPr>
      <w:r>
        <w:t xml:space="preserve"/>
      </w:r>
    </w:p>
    <w:p>
      <w:pPr>
        <w:pStyle w:val="Heading2"/>
      </w:pPr>
      <w:r>
        <w:t xml:space="preserve">4.4 Pre/Post 2022 Evaluation Results</w:t>
      </w:r>
    </w:p>
    <w:p>
      <w:pPr>
        <w:spacing w:after="120"/>
      </w:pPr>
      <w:r>
        <w:rPr>
          <w:rFonts w:ascii="Arial" w:cs="Arial" w:eastAsia="Arial" w:hAnsi="Arial"/>
          <w:sz w:val="22"/>
          <w:szCs w:val="22"/>
        </w:rPr>
        <w:t xml:space="preserve">Key finding: signal is regime-dependent. Works well during sustained trends (2022 rates shock) but fails in post-trend consolidation (2023-2024).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1560"/>
        <w:gridCol w:w="1560"/>
        <w:gridCol w:w="780"/>
      </w:tblGrid>
      <w:tr>
        <w:tc>
          <w:tcPr>
            <w:tcW w:type="dxa" w:w="2340"/>
            <w:tcBorders>
              <w:top w:val="single" w:color="2E4B7A" w:sz="1"/>
              <w:left w:val="single" w:color="2E4B7A" w:sz="1"/>
              <w:bottom w:val="single" w:color="2E4B7A" w:sz="1"/>
              <w:right w:val="single" w:color="2E4B7A" w:sz="1"/>
            </w:tcBorders>
            <w:shd w:fill="2E4B7A" w:val="clear"/>
            <w:tcMar>
              <w:top w:type="dxa" w:w="80"/>
              <w:left w:type="dxa" w:w="120"/>
              <w:bottom w:type="dxa" w:w="80"/>
              <w:right w:type="dxa" w:w="120"/>
            </w:tcMar>
          </w:tcPr>
          <w:p>
            <w:r>
              <w:rPr>
                <w:rFonts w:ascii="Arial" w:cs="Arial" w:eastAsia="Arial" w:hAnsi="Arial"/>
                <w:b/>
                <w:bCs/>
                <w:color w:val="FFFFFF"/>
                <w:sz w:val="20"/>
                <w:szCs w:val="20"/>
              </w:rPr>
              <w:t xml:space="preserve">Period</w:t>
            </w:r>
          </w:p>
        </w:tc>
        <w:tc>
          <w:tcPr>
            <w:tcW w:type="dxa" w:w="1560"/>
            <w:tcBorders>
              <w:top w:val="single" w:color="2E4B7A" w:sz="1"/>
              <w:left w:val="single" w:color="2E4B7A" w:sz="1"/>
              <w:bottom w:val="single" w:color="2E4B7A" w:sz="1"/>
              <w:right w:val="single" w:color="2E4B7A" w:sz="1"/>
            </w:tcBorders>
            <w:shd w:fill="2E4B7A" w:val="clear"/>
            <w:tcMar>
              <w:top w:type="dxa" w:w="80"/>
              <w:left w:type="dxa" w:w="120"/>
              <w:bottom w:type="dxa" w:w="80"/>
              <w:right w:type="dxa" w:w="120"/>
            </w:tcMar>
          </w:tcPr>
          <w:p>
            <w:r>
              <w:rPr>
                <w:rFonts w:ascii="Arial" w:cs="Arial" w:eastAsia="Arial" w:hAnsi="Arial"/>
                <w:b/>
                <w:bCs/>
                <w:color w:val="FFFFFF"/>
                <w:sz w:val="20"/>
                <w:szCs w:val="20"/>
              </w:rPr>
              <w:t xml:space="preserve">IC (1d)</w:t>
            </w:r>
          </w:p>
        </w:tc>
        <w:tc>
          <w:tcPr>
            <w:tcW w:type="dxa" w:w="1560"/>
            <w:tcBorders>
              <w:top w:val="single" w:color="2E4B7A" w:sz="1"/>
              <w:left w:val="single" w:color="2E4B7A" w:sz="1"/>
              <w:bottom w:val="single" w:color="2E4B7A" w:sz="1"/>
              <w:right w:val="single" w:color="2E4B7A" w:sz="1"/>
            </w:tcBorders>
            <w:shd w:fill="2E4B7A" w:val="clear"/>
            <w:tcMar>
              <w:top w:type="dxa" w:w="80"/>
              <w:left w:type="dxa" w:w="120"/>
              <w:bottom w:type="dxa" w:w="80"/>
              <w:right w:type="dxa" w:w="120"/>
            </w:tcMar>
          </w:tcPr>
          <w:p>
            <w:r>
              <w:rPr>
                <w:rFonts w:ascii="Arial" w:cs="Arial" w:eastAsia="Arial" w:hAnsi="Arial"/>
                <w:b/>
                <w:bCs/>
                <w:color w:val="FFFFFF"/>
                <w:sz w:val="20"/>
                <w:szCs w:val="20"/>
              </w:rPr>
              <w:t xml:space="preserve">ICIR (1d)</w:t>
            </w:r>
          </w:p>
        </w:tc>
        <w:tc>
          <w:tcPr>
            <w:tcW w:type="dxa" w:w="1560"/>
            <w:tcBorders>
              <w:top w:val="single" w:color="2E4B7A" w:sz="1"/>
              <w:left w:val="single" w:color="2E4B7A" w:sz="1"/>
              <w:bottom w:val="single" w:color="2E4B7A" w:sz="1"/>
              <w:right w:val="single" w:color="2E4B7A" w:sz="1"/>
            </w:tcBorders>
            <w:shd w:fill="2E4B7A" w:val="clear"/>
            <w:tcMar>
              <w:top w:type="dxa" w:w="80"/>
              <w:left w:type="dxa" w:w="120"/>
              <w:bottom w:type="dxa" w:w="80"/>
              <w:right w:type="dxa" w:w="120"/>
            </w:tcMar>
          </w:tcPr>
          <w:p>
            <w:r>
              <w:rPr>
                <w:rFonts w:ascii="Arial" w:cs="Arial" w:eastAsia="Arial" w:hAnsi="Arial"/>
                <w:b/>
                <w:bCs/>
                <w:color w:val="FFFFFF"/>
                <w:sz w:val="20"/>
                <w:szCs w:val="20"/>
              </w:rPr>
              <w:t xml:space="preserve">Hit Rate</w:t>
            </w:r>
          </w:p>
        </w:tc>
        <w:tc>
          <w:tcPr>
            <w:tcW w:type="dxa" w:w="1560"/>
            <w:tcBorders>
              <w:top w:val="single" w:color="2E4B7A" w:sz="1"/>
              <w:left w:val="single" w:color="2E4B7A" w:sz="1"/>
              <w:bottom w:val="single" w:color="2E4B7A" w:sz="1"/>
              <w:right w:val="single" w:color="2E4B7A" w:sz="1"/>
            </w:tcBorders>
            <w:shd w:fill="2E4B7A" w:val="clear"/>
            <w:tcMar>
              <w:top w:type="dxa" w:w="80"/>
              <w:left w:type="dxa" w:w="120"/>
              <w:bottom w:type="dxa" w:w="80"/>
              <w:right w:type="dxa" w:w="120"/>
            </w:tcMar>
          </w:tcPr>
          <w:p>
            <w:r>
              <w:rPr>
                <w:rFonts w:ascii="Arial" w:cs="Arial" w:eastAsia="Arial" w:hAnsi="Arial"/>
                <w:b/>
                <w:bCs/>
                <w:color w:val="FFFFFF"/>
                <w:sz w:val="20"/>
                <w:szCs w:val="20"/>
              </w:rPr>
              <w:t xml:space="preserve">Sharpe</w:t>
            </w:r>
          </w:p>
        </w:tc>
        <w:tc>
          <w:tcPr>
            <w:tcW w:type="dxa" w:w="780"/>
            <w:tcBorders>
              <w:top w:val="single" w:color="2E4B7A" w:sz="1"/>
              <w:left w:val="single" w:color="2E4B7A" w:sz="1"/>
              <w:bottom w:val="single" w:color="2E4B7A" w:sz="1"/>
              <w:right w:val="single" w:color="2E4B7A" w:sz="1"/>
            </w:tcBorders>
            <w:shd w:fill="2E4B7A" w:val="clear"/>
            <w:tcMar>
              <w:top w:type="dxa" w:w="80"/>
              <w:left w:type="dxa" w:w="120"/>
              <w:bottom w:type="dxa" w:w="80"/>
              <w:right w:type="dxa" w:w="120"/>
            </w:tcMar>
          </w:tcPr>
          <w:p>
            <w:r>
              <w:rPr>
                <w:rFonts w:ascii="Arial" w:cs="Arial" w:eastAsia="Arial" w:hAnsi="Arial"/>
                <w:b/>
                <w:bCs/>
                <w:color w:val="FFFFFF"/>
                <w:sz w:val="20"/>
                <w:szCs w:val="20"/>
              </w:rPr>
              <w:t xml:space="preserve">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(2010-2024)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0.0117</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0.1120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0.5117</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0.2202</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3522</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Pre-2022 (2010-2021)</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0.0044</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0.0411</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0.5129</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0.2184</w:t>
            </w:r>
          </w:p>
        </w:tc>
        <w:tc>
          <w:tcPr>
            <w:tcW w:type="dxa" w:w="7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3021</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2022 shock</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-0.0010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-0.0264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0.5301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1.2340</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251</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Post-2022 (2023-2024)</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-0.0276</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-0.3306</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0.4879</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-0.5189</w:t>
            </w:r>
          </w:p>
        </w:tc>
        <w:tc>
          <w:tcPr>
            <w:tcW w:type="dxa" w:w="7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250</w:t>
            </w:r>
          </w:p>
        </w:tc>
      </w:tr>
    </w:tbl>
    <w:p>
      <w:pPr>
        <w:spacing w:after="80"/>
      </w:pPr>
      <w:r>
        <w:t xml:space="preserve"/>
      </w:r>
    </w:p>
    <w:p>
      <w:pPr>
        <w:spacing w:after="120"/>
      </w:pPr>
      <w:r>
        <w:rPr>
          <w:rFonts w:ascii="Arial" w:cs="Arial" w:eastAsia="Arial" w:hAnsi="Arial"/>
          <w:sz w:val="22"/>
          <w:szCs w:val="22"/>
        </w:rPr>
        <w:t xml:space="preserve">Decision: FAIL on full period. Regime filter required. Phase 5: add vol-of-vol threshold to gate the signal. Signal active only when trailing 63-day TLT volatility &gt; 0.8% (annualised daily).</w:t>
      </w:r>
    </w:p>
    <w:p>
      <w:pPr>
        <w:spacing w:after="80"/>
      </w:pPr>
      <w:r>
        <w:t xml:space="preserve"/>
      </w:r>
    </w:p>
    <w:p>
      <w:pPr>
        <w:pStyle w:val="Heading1"/>
      </w:pPr>
      <w:r>
        <w:t xml:space="preserve">5. Equity Momentum Signal</w:t>
      </w:r>
    </w:p>
    <w:p>
      <w:pPr>
        <w:pStyle w:val="Heading2"/>
      </w:pPr>
      <w:r>
        <w:t xml:space="preserve">5.1 Economic Rationale</w:t>
      </w:r>
    </w:p>
    <w:p>
      <w:pPr>
        <w:spacing w:after="120"/>
      </w:pPr>
      <w:r>
        <w:rPr>
          <w:rFonts w:ascii="Arial" w:cs="Arial" w:eastAsia="Arial" w:hAnsi="Arial"/>
          <w:sz w:val="22"/>
          <w:szCs w:val="22"/>
        </w:rPr>
        <w:t xml:space="preserve">Cross-sectional equity momentum is one of the most replicated factors in quantitative finance, documented by Jegadeesh and Titman (1993) and confirmed across markets and time periods. Stocks that have outperformed peers over the past 12 months (skipping the most recent month) tend to continue outperforming over the next 1-3 months.</w:t>
      </w:r>
    </w:p>
    <w:p>
      <w:pPr>
        <w:spacing w:after="120"/>
      </w:pPr>
      <w:r>
        <w:rPr>
          <w:rFonts w:ascii="Arial" w:cs="Arial" w:eastAsia="Arial" w:hAnsi="Arial"/>
          <w:sz w:val="22"/>
          <w:szCs w:val="22"/>
        </w:rPr>
        <w:t xml:space="preserve">Explanations include: delayed information diffusion, investor underreaction to news, trend-chasing by institutional investors, and earnings momentum persistence. The skip-month (month 12 to month 2) avoids the short-term reversal effect documented at the 1-month horizon.</w:t>
      </w:r>
    </w:p>
    <w:p>
      <w:pPr>
        <w:spacing w:after="80"/>
      </w:pPr>
      <w:r>
        <w:t xml:space="preserve"/>
      </w:r>
    </w:p>
    <w:p>
      <w:pPr>
        <w:pStyle w:val="Heading2"/>
      </w:pPr>
      <w:r>
        <w:t xml:space="preserve">5.2 Signal Construction</w:t>
      </w:r>
    </w:p>
    <w:p>
      <w:pPr>
        <w:spacing w:after="120"/>
      </w:pPr>
      <w:r>
        <w:rPr>
          <w:rFonts w:ascii="Arial" w:cs="Arial" w:eastAsia="Arial" w:hAnsi="Arial"/>
          <w:sz w:val="22"/>
          <w:szCs w:val="22"/>
        </w:rPr>
        <w:t xml:space="preserve">Step 1 — Convert daily prices to monthly (no-lookahead):</w:t>
      </w:r>
    </w:p>
    <w:p>
      <w:pPr>
        <w:shd w:fill="EEF2F7" w:val="clear"/>
        <w:spacing w:after="80" w:before="80"/>
        <w:ind w:left="720"/>
      </w:pPr>
      <w:r>
        <w:rPr>
          <w:rFonts w:ascii="Courier New" w:cs="Courier New" w:eastAsia="Courier New" w:hAnsi="Courier New"/>
          <w:color w:val="1F3864"/>
          <w:sz w:val="22"/>
          <w:szCs w:val="22"/>
        </w:rPr>
        <w:t xml:space="preserve">  monthly_close(t) = last(close.shift(1), month ending t)</w:t>
      </w:r>
    </w:p>
    <w:p>
      <w:pPr>
        <w:spacing w:after="120"/>
        <w:ind w:left="360"/>
      </w:pPr>
      <w:r>
        <w:rPr>
          <w:rFonts w:ascii="Arial" w:cs="Arial" w:eastAsia="Arial" w:hAnsi="Arial"/>
          <w:i/>
          <w:iCs/>
          <w:color w:val="555555"/>
          <w:sz w:val="20"/>
          <w:szCs w:val="20"/>
        </w:rPr>
        <w:t xml:space="preserve">Note: Shift by 1 day before resampling ensures month-end price at t uses close from t-1.</w:t>
      </w:r>
    </w:p>
    <w:p>
      <w:pPr>
        <w:spacing w:after="80"/>
      </w:pPr>
      <w:r>
        <w:t xml:space="preserve"/>
      </w:r>
    </w:p>
    <w:p>
      <w:pPr>
        <w:spacing w:after="120"/>
      </w:pPr>
      <w:r>
        <w:rPr>
          <w:rFonts w:ascii="Arial" w:cs="Arial" w:eastAsia="Arial" w:hAnsi="Arial"/>
          <w:sz w:val="22"/>
          <w:szCs w:val="22"/>
        </w:rPr>
        <w:t xml:space="preserve">Step 2 — Compute 12-1 month formation return for each stock:</w:t>
      </w:r>
    </w:p>
    <w:p>
      <w:pPr>
        <w:shd w:fill="EEF2F7" w:val="clear"/>
        <w:spacing w:after="80" w:before="80"/>
        <w:ind w:left="720"/>
      </w:pPr>
      <w:r>
        <w:rPr>
          <w:rFonts w:ascii="Courier New" w:cs="Courier New" w:eastAsia="Courier New" w:hAnsi="Courier New"/>
          <w:color w:val="1F3864"/>
          <w:sz w:val="22"/>
          <w:szCs w:val="22"/>
        </w:rPr>
        <w:t xml:space="preserve">  p_skip(t)   = monthly_close(t - skip_months)</w:t>
      </w:r>
    </w:p>
    <w:p>
      <w:pPr>
        <w:shd w:fill="EEF2F7" w:val="clear"/>
        <w:spacing w:after="80" w:before="80"/>
        <w:ind w:left="720"/>
      </w:pPr>
      <w:r>
        <w:rPr>
          <w:rFonts w:ascii="Courier New" w:cs="Courier New" w:eastAsia="Courier New" w:hAnsi="Courier New"/>
          <w:color w:val="1F3864"/>
          <w:sz w:val="22"/>
          <w:szCs w:val="22"/>
        </w:rPr>
        <w:t xml:space="preserve">  p_form(t)   = monthly_close(t - skip_months - formation_months)</w:t>
      </w:r>
    </w:p>
    <w:p>
      <w:pPr>
        <w:shd w:fill="EEF2F7" w:val="clear"/>
        <w:spacing w:after="80" w:before="80"/>
        <w:ind w:left="720"/>
      </w:pPr>
      <w:r>
        <w:rPr>
          <w:rFonts w:ascii="Courier New" w:cs="Courier New" w:eastAsia="Courier New" w:hAnsi="Courier New"/>
          <w:color w:val="1F3864"/>
          <w:sz w:val="22"/>
          <w:szCs w:val="22"/>
        </w:rPr>
        <w:t xml:space="preserve">  ret_12_1(t) = p_skip(t) / p_form(t) - 1</w:t>
      </w:r>
    </w:p>
    <w:p>
      <w:pPr>
        <w:spacing w:after="80"/>
      </w:pPr>
      <w:r>
        <w:t xml:space="preserve"/>
      </w:r>
    </w:p>
    <w:p>
      <w:pPr>
        <w:spacing w:after="120"/>
      </w:pPr>
      <w:r>
        <w:rPr>
          <w:rFonts w:ascii="Arial" w:cs="Arial" w:eastAsia="Arial" w:hAnsi="Arial"/>
          <w:sz w:val="22"/>
          <w:szCs w:val="22"/>
        </w:rPr>
        <w:t xml:space="preserve">Step 3 — Cross-sectional rank within universe at each month-end:</w:t>
      </w:r>
    </w:p>
    <w:p>
      <w:pPr>
        <w:shd w:fill="EEF2F7" w:val="clear"/>
        <w:spacing w:after="80" w:before="80"/>
        <w:ind w:left="720"/>
      </w:pPr>
      <w:r>
        <w:rPr>
          <w:rFonts w:ascii="Courier New" w:cs="Courier New" w:eastAsia="Courier New" w:hAnsi="Courier New"/>
          <w:color w:val="1F3864"/>
          <w:sz w:val="22"/>
          <w:szCs w:val="22"/>
        </w:rPr>
        <w:t xml:space="preserve">  rank_pct[stock](t) = percentile_rank(ret_12_1[stock](t), all stocks at t)</w:t>
      </w:r>
    </w:p>
    <w:p>
      <w:pPr>
        <w:shd w:fill="EEF2F7" w:val="clear"/>
        <w:spacing w:after="80" w:before="80"/>
        <w:ind w:left="720"/>
      </w:pPr>
      <w:r>
        <w:rPr>
          <w:rFonts w:ascii="Courier New" w:cs="Courier New" w:eastAsia="Courier New" w:hAnsi="Courier New"/>
          <w:color w:val="1F3864"/>
          <w:sz w:val="22"/>
          <w:szCs w:val="22"/>
        </w:rPr>
        <w:t xml:space="preserve">  scaled[stock](t)   = rank_pct[stock](t) * 2 - 1   =&gt;  range [-1, 1]</w:t>
      </w:r>
    </w:p>
    <w:p>
      <w:pPr>
        <w:spacing w:after="80"/>
      </w:pPr>
      <w:r>
        <w:t xml:space="preserve"/>
      </w:r>
    </w:p>
    <w:p>
      <w:pPr>
        <w:spacing w:after="120"/>
      </w:pPr>
      <w:r>
        <w:rPr>
          <w:rFonts w:ascii="Arial" w:cs="Arial" w:eastAsia="Arial" w:hAnsi="Arial"/>
          <w:sz w:val="22"/>
          <w:szCs w:val="22"/>
        </w:rPr>
        <w:t xml:space="preserve">Step 4 — Long top decile, short bottom decile, zero all others:</w:t>
      </w:r>
    </w:p>
    <w:p>
      <w:pPr>
        <w:shd w:fill="EEF2F7" w:val="clear"/>
        <w:spacing w:after="80" w:before="80"/>
        <w:ind w:left="720"/>
      </w:pPr>
      <w:r>
        <w:rPr>
          <w:rFonts w:ascii="Courier New" w:cs="Courier New" w:eastAsia="Courier New" w:hAnsi="Courier New"/>
          <w:color w:val="1F3864"/>
          <w:sz w:val="22"/>
          <w:szCs w:val="22"/>
        </w:rPr>
        <w:t xml:space="preserve">  k = floor(n_stocks * 0.10)   (top and bottom decile count)</w:t>
      </w:r>
    </w:p>
    <w:p>
      <w:pPr>
        <w:shd w:fill="EEF2F7" w:val="clear"/>
        <w:spacing w:after="80" w:before="80"/>
        <w:ind w:left="720"/>
      </w:pPr>
      <w:r>
        <w:rPr>
          <w:rFonts w:ascii="Courier New" w:cs="Courier New" w:eastAsia="Courier New" w:hAnsi="Courier New"/>
          <w:color w:val="1F3864"/>
          <w:sz w:val="22"/>
          <w:szCs w:val="22"/>
        </w:rPr>
        <w:t xml:space="preserve">  signal[stock](t) = scaled[stock](t)  if stock in top-k or bottom-k by ret_12_1</w:t>
      </w:r>
    </w:p>
    <w:p>
      <w:pPr>
        <w:shd w:fill="EEF2F7" w:val="clear"/>
        <w:spacing w:after="80" w:before="80"/>
        <w:ind w:left="720"/>
      </w:pPr>
      <w:r>
        <w:rPr>
          <w:rFonts w:ascii="Courier New" w:cs="Courier New" w:eastAsia="Courier New" w:hAnsi="Courier New"/>
          <w:color w:val="1F3864"/>
          <w:sz w:val="22"/>
          <w:szCs w:val="22"/>
        </w:rPr>
        <w:t xml:space="preserve">  signal[stock](t) = 0                 otherwise</w:t>
      </w:r>
    </w:p>
    <w:p>
      <w:pPr>
        <w:spacing w:after="80"/>
      </w:pPr>
      <w:r>
        <w:t xml:space="preserve"/>
      </w:r>
    </w:p>
    <w:p>
      <w:pPr>
        <w:pStyle w:val="Heading2"/>
      </w:pPr>
      <w:r>
        <w:t xml:space="preserve">5.3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2E4B7A" w:sz="1"/>
              <w:left w:val="single" w:color="2E4B7A" w:sz="1"/>
              <w:bottom w:val="single" w:color="2E4B7A" w:sz="1"/>
              <w:right w:val="single" w:color="2E4B7A" w:sz="1"/>
            </w:tcBorders>
            <w:shd w:fill="2E4B7A"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800"/>
            <w:tcBorders>
              <w:top w:val="single" w:color="2E4B7A" w:sz="1"/>
              <w:left w:val="single" w:color="2E4B7A" w:sz="1"/>
              <w:bottom w:val="single" w:color="2E4B7A" w:sz="1"/>
              <w:right w:val="single" w:color="2E4B7A" w:sz="1"/>
            </w:tcBorders>
            <w:shd w:fill="2E4B7A"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4760"/>
            <w:tcBorders>
              <w:top w:val="single" w:color="2E4B7A" w:sz="1"/>
              <w:left w:val="single" w:color="2E4B7A" w:sz="1"/>
              <w:bottom w:val="single" w:color="2E4B7A" w:sz="1"/>
              <w:right w:val="single" w:color="2E4B7A" w:sz="1"/>
            </w:tcBorders>
            <w:shd w:fill="2E4B7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formation_months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Lookback window for return calculation</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skip_months</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w:t>
            </w:r>
          </w:p>
        </w:tc>
        <w:tc>
          <w:tcPr>
            <w:tcW w:type="dxa" w:w="4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Most recent months to skip (avoids reversal)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universe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sp500_current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Universe file in configs/universes/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rebalance_freq</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monthly</w:t>
            </w:r>
          </w:p>
        </w:tc>
        <w:tc>
          <w:tcPr>
            <w:tcW w:type="dxa" w:w="4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Rebalance frequency (monthly only in Phase 1)</w:t>
            </w:r>
          </w:p>
        </w:tc>
      </w:tr>
    </w:tbl>
    <w:p>
      <w:pPr>
        <w:spacing w:after="80"/>
      </w:pPr>
      <w:r>
        <w:t xml:space="preserve"/>
      </w:r>
    </w:p>
    <w:p>
      <w:pPr>
        <w:pStyle w:val="Heading2"/>
      </w:pPr>
      <w:r>
        <w:t xml:space="preserve">5.4 Known Limitations</w:t>
      </w:r>
    </w:p>
    <w:p>
      <w:pPr>
        <w:pStyle w:val="ListParagraph"/>
        <w:numPr>
          <w:ilvl w:val="0"/>
          <w:numId w:val="2"/>
        </w:numPr>
        <w:spacing w:after="80"/>
      </w:pPr>
      <w:r>
        <w:rPr>
          <w:rFonts w:ascii="Arial" w:cs="Arial" w:eastAsia="Arial" w:hAnsi="Arial"/>
          <w:sz w:val="22"/>
          <w:szCs w:val="22"/>
        </w:rPr>
        <w:t xml:space="preserve">Survivorship bias: universe uses current S&amp;P 500 members only — returns are overstated, especially pre-2010.</w:t>
      </w:r>
    </w:p>
    <w:p>
      <w:pPr>
        <w:pStyle w:val="ListParagraph"/>
        <w:numPr>
          <w:ilvl w:val="0"/>
          <w:numId w:val="2"/>
        </w:numPr>
        <w:spacing w:after="80"/>
      </w:pPr>
      <w:r>
        <w:rPr>
          <w:rFonts w:ascii="Arial" w:cs="Arial" w:eastAsia="Arial" w:hAnsi="Arial"/>
          <w:sz w:val="22"/>
          <w:szCs w:val="22"/>
        </w:rPr>
        <w:t xml:space="preserve">50-stock universe too small for robust IC — cross-sectional IC requires 200+ stocks.</w:t>
      </w:r>
    </w:p>
    <w:p>
      <w:pPr>
        <w:pStyle w:val="ListParagraph"/>
        <w:numPr>
          <w:ilvl w:val="0"/>
          <w:numId w:val="2"/>
        </w:numPr>
        <w:spacing w:after="80"/>
      </w:pPr>
      <w:r>
        <w:rPr>
          <w:rFonts w:ascii="Arial" w:cs="Arial" w:eastAsia="Arial" w:hAnsi="Arial"/>
          <w:sz w:val="22"/>
          <w:szCs w:val="22"/>
        </w:rPr>
        <w:t xml:space="preserve">Long-short equity ignores short-selling costs — P&amp;L overstated for short leg.</w:t>
      </w:r>
    </w:p>
    <w:p>
      <w:pPr>
        <w:pStyle w:val="ListParagraph"/>
        <w:numPr>
          <w:ilvl w:val="0"/>
          <w:numId w:val="2"/>
        </w:numPr>
        <w:spacing w:after="80"/>
      </w:pPr>
      <w:r>
        <w:rPr>
          <w:rFonts w:ascii="Arial" w:cs="Arial" w:eastAsia="Arial" w:hAnsi="Arial"/>
          <w:sz w:val="22"/>
          <w:szCs w:val="22"/>
        </w:rPr>
        <w:t xml:space="preserve">Phase 2 fix: CRSP point-in-time universe (500+ stocks) eliminates survivorship bias.</w:t>
      </w:r>
    </w:p>
    <w:p>
      <w:pPr>
        <w:spacing w:after="80"/>
      </w:pPr>
      <w:r>
        <w:t xml:space="preserve"/>
      </w:r>
    </w:p>
    <w:p>
      <w:pPr>
        <w:pStyle w:val="Heading2"/>
      </w:pPr>
      <w:r>
        <w:t xml:space="preserve">5.5 Phase 1 Evaluation Results (50-stock, monthly frequency)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2E4B7A" w:sz="1"/>
              <w:left w:val="single" w:color="2E4B7A" w:sz="1"/>
              <w:bottom w:val="single" w:color="2E4B7A" w:sz="1"/>
              <w:right w:val="single" w:color="2E4B7A" w:sz="1"/>
            </w:tcBorders>
            <w:shd w:fill="2E4B7A" w:val="clear"/>
            <w:tcMar>
              <w:top w:type="dxa" w:w="80"/>
              <w:left w:type="dxa" w:w="120"/>
              <w:bottom w:type="dxa" w:w="80"/>
              <w:right w:type="dxa" w:w="120"/>
            </w:tcMar>
          </w:tcPr>
          <w:p>
            <w:r>
              <w:rPr>
                <w:rFonts w:ascii="Arial" w:cs="Arial" w:eastAsia="Arial" w:hAnsi="Arial"/>
                <w:b/>
                <w:bCs/>
                <w:color w:val="FFFFFF"/>
                <w:sz w:val="20"/>
                <w:szCs w:val="20"/>
              </w:rPr>
              <w:t xml:space="preserve">Horizon</w:t>
            </w:r>
          </w:p>
        </w:tc>
        <w:tc>
          <w:tcPr>
            <w:tcW w:type="dxa" w:w="1560"/>
            <w:tcBorders>
              <w:top w:val="single" w:color="2E4B7A" w:sz="1"/>
              <w:left w:val="single" w:color="2E4B7A" w:sz="1"/>
              <w:bottom w:val="single" w:color="2E4B7A" w:sz="1"/>
              <w:right w:val="single" w:color="2E4B7A" w:sz="1"/>
            </w:tcBorders>
            <w:shd w:fill="2E4B7A" w:val="clear"/>
            <w:tcMar>
              <w:top w:type="dxa" w:w="80"/>
              <w:left w:type="dxa" w:w="120"/>
              <w:bottom w:type="dxa" w:w="80"/>
              <w:right w:type="dxa" w:w="120"/>
            </w:tcMar>
          </w:tcPr>
          <w:p>
            <w:r>
              <w:rPr>
                <w:rFonts w:ascii="Arial" w:cs="Arial" w:eastAsia="Arial" w:hAnsi="Arial"/>
                <w:b/>
                <w:bCs/>
                <w:color w:val="FFFFFF"/>
                <w:sz w:val="20"/>
                <w:szCs w:val="20"/>
              </w:rPr>
              <w:t xml:space="preserve">IC Mean</w:t>
            </w:r>
          </w:p>
        </w:tc>
        <w:tc>
          <w:tcPr>
            <w:tcW w:type="dxa" w:w="1560"/>
            <w:tcBorders>
              <w:top w:val="single" w:color="2E4B7A" w:sz="1"/>
              <w:left w:val="single" w:color="2E4B7A" w:sz="1"/>
              <w:bottom w:val="single" w:color="2E4B7A" w:sz="1"/>
              <w:right w:val="single" w:color="2E4B7A" w:sz="1"/>
            </w:tcBorders>
            <w:shd w:fill="2E4B7A" w:val="clear"/>
            <w:tcMar>
              <w:top w:type="dxa" w:w="80"/>
              <w:left w:type="dxa" w:w="120"/>
              <w:bottom w:type="dxa" w:w="80"/>
              <w:right w:type="dxa" w:w="120"/>
            </w:tcMar>
          </w:tcPr>
          <w:p>
            <w:r>
              <w:rPr>
                <w:rFonts w:ascii="Arial" w:cs="Arial" w:eastAsia="Arial" w:hAnsi="Arial"/>
                <w:b/>
                <w:bCs/>
                <w:color w:val="FFFFFF"/>
                <w:sz w:val="20"/>
                <w:szCs w:val="20"/>
              </w:rPr>
              <w:t xml:space="preserve">ICIR</w:t>
            </w:r>
          </w:p>
        </w:tc>
        <w:tc>
          <w:tcPr>
            <w:tcW w:type="dxa" w:w="1560"/>
            <w:tcBorders>
              <w:top w:val="single" w:color="2E4B7A" w:sz="1"/>
              <w:left w:val="single" w:color="2E4B7A" w:sz="1"/>
              <w:bottom w:val="single" w:color="2E4B7A" w:sz="1"/>
              <w:right w:val="single" w:color="2E4B7A" w:sz="1"/>
            </w:tcBorders>
            <w:shd w:fill="2E4B7A" w:val="clear"/>
            <w:tcMar>
              <w:top w:type="dxa" w:w="80"/>
              <w:left w:type="dxa" w:w="120"/>
              <w:bottom w:type="dxa" w:w="80"/>
              <w:right w:type="dxa" w:w="120"/>
            </w:tcMar>
          </w:tcPr>
          <w:p>
            <w:r>
              <w:rPr>
                <w:rFonts w:ascii="Arial" w:cs="Arial" w:eastAsia="Arial" w:hAnsi="Arial"/>
                <w:b/>
                <w:bCs/>
                <w:color w:val="FFFFFF"/>
                <w:sz w:val="20"/>
                <w:szCs w:val="20"/>
              </w:rPr>
              <w:t xml:space="preserve">Hit Rate</w:t>
            </w:r>
          </w:p>
        </w:tc>
        <w:tc>
          <w:tcPr>
            <w:tcW w:type="dxa" w:w="1560"/>
            <w:tcBorders>
              <w:top w:val="single" w:color="2E4B7A" w:sz="1"/>
              <w:left w:val="single" w:color="2E4B7A" w:sz="1"/>
              <w:bottom w:val="single" w:color="2E4B7A" w:sz="1"/>
              <w:right w:val="single" w:color="2E4B7A" w:sz="1"/>
            </w:tcBorders>
            <w:shd w:fill="2E4B7A" w:val="clear"/>
            <w:tcMar>
              <w:top w:type="dxa" w:w="80"/>
              <w:left w:type="dxa" w:w="120"/>
              <w:bottom w:type="dxa" w:w="80"/>
              <w:right w:type="dxa" w:w="120"/>
            </w:tcMar>
          </w:tcPr>
          <w:p>
            <w:r>
              <w:rPr>
                <w:rFonts w:ascii="Arial" w:cs="Arial" w:eastAsia="Arial" w:hAnsi="Arial"/>
                <w:b/>
                <w:bCs/>
                <w:color w:val="FFFFFF"/>
                <w:sz w:val="20"/>
                <w:szCs w:val="20"/>
              </w:rPr>
              <w:t xml:space="preserve">Sharpe</w:t>
            </w:r>
          </w:p>
        </w:tc>
        <w:tc>
          <w:tcPr>
            <w:tcW w:type="dxa" w:w="1560"/>
            <w:tcBorders>
              <w:top w:val="single" w:color="2E4B7A" w:sz="1"/>
              <w:left w:val="single" w:color="2E4B7A" w:sz="1"/>
              <w:bottom w:val="single" w:color="2E4B7A" w:sz="1"/>
              <w:right w:val="single" w:color="2E4B7A" w:sz="1"/>
            </w:tcBorders>
            <w:shd w:fill="2E4B7A" w:val="clear"/>
            <w:tcMar>
              <w:top w:type="dxa" w:w="80"/>
              <w:left w:type="dxa" w:w="120"/>
              <w:bottom w:type="dxa" w:w="80"/>
              <w:right w:type="dxa" w:w="120"/>
            </w:tcMar>
          </w:tcPr>
          <w:p>
            <w:r>
              <w:rPr>
                <w:rFonts w:ascii="Arial" w:cs="Arial" w:eastAsia="Arial" w:hAnsi="Arial"/>
                <w:b/>
                <w:bCs/>
                <w:color w:val="FFFFFF"/>
                <w:sz w:val="20"/>
                <w:szCs w:val="20"/>
              </w:rPr>
              <w:t xml:space="preserve">N</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1m</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0.0063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0.0146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0.4752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-0.7110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1494</w:t>
            </w:r>
          </w:p>
        </w:tc>
      </w:tr>
      <w:tr>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2m</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0.0222</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0.0499</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0.4837</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0.7819</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1474</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3m</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0.0309</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0.0675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0.4924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0.3280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1454</w:t>
            </w:r>
          </w:p>
        </w:tc>
      </w:tr>
      <w:tr>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6m</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-0.0250</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-0.0586</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0.4792</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-0.9733</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1394</w:t>
            </w:r>
          </w:p>
        </w:tc>
      </w:tr>
    </w:tbl>
    <w:p>
      <w:pPr>
        <w:spacing w:after="80"/>
      </w:pPr>
      <w:r>
        <w:t xml:space="preserve"/>
      </w:r>
    </w:p>
    <w:p>
      <w:pPr>
        <w:spacing w:after="120"/>
      </w:pPr>
      <w:r>
        <w:rPr>
          <w:rFonts w:ascii="Arial" w:cs="Arial" w:eastAsia="Arial" w:hAnsi="Arial"/>
          <w:sz w:val="22"/>
          <w:szCs w:val="22"/>
        </w:rPr>
        <w:t xml:space="preserve">Decision: BORDERLINE. IC positive at 2-3m, consistent with academic literature. ICIR fails threshold — universe too small. Phase 5 upgrade: 200-stock universe.</w:t>
      </w:r>
    </w:p>
    <w:p>
      <w:pPr>
        <w:spacing w:after="80"/>
      </w:pPr>
      <w:r>
        <w:t xml:space="preserve"/>
      </w:r>
    </w:p>
    <w:p>
      <w:pPr>
        <w:pStyle w:val="Heading1"/>
      </w:pPr>
      <w:r>
        <w:t xml:space="preserve">6. Signal Evaluation Framework</w:t>
      </w:r>
    </w:p>
    <w:p>
      <w:pPr>
        <w:pStyle w:val="Heading2"/>
      </w:pPr>
      <w:r>
        <w:t xml:space="preserve">6.1 Information Coefficient (IC)</w:t>
      </w:r>
    </w:p>
    <w:p>
      <w:pPr>
        <w:spacing w:after="120"/>
      </w:pPr>
      <w:r>
        <w:rPr>
          <w:rFonts w:ascii="Arial" w:cs="Arial" w:eastAsia="Arial" w:hAnsi="Arial"/>
          <w:sz w:val="22"/>
          <w:szCs w:val="22"/>
        </w:rPr>
        <w:t xml:space="preserve">The IC measures the correlation between the signal and subsequent forward returns. We use Spearman rank correlation (non-parametric) to avoid sensitivity to outliers.</w:t>
      </w:r>
    </w:p>
    <w:p>
      <w:pPr>
        <w:shd w:fill="EEF2F7" w:val="clear"/>
        <w:spacing w:after="80" w:before="80"/>
        <w:ind w:left="720"/>
      </w:pPr>
      <w:r>
        <w:rPr>
          <w:rFonts w:ascii="Courier New" w:cs="Courier New" w:eastAsia="Courier New" w:hAnsi="Courier New"/>
          <w:color w:val="1F3864"/>
          <w:sz w:val="22"/>
          <w:szCs w:val="22"/>
        </w:rPr>
        <w:t xml:space="preserve">  IC(t) = Spearman_rank_correlation(signal(t), forward_return(t+h))</w:t>
      </w:r>
    </w:p>
    <w:p>
      <w:pPr>
        <w:spacing w:after="120"/>
      </w:pPr>
      <w:r>
        <w:rPr>
          <w:rFonts w:ascii="Arial" w:cs="Arial" w:eastAsia="Arial" w:hAnsi="Arial"/>
          <w:sz w:val="22"/>
          <w:szCs w:val="22"/>
        </w:rPr>
        <w:t xml:space="preserve">For multi-asset signals, IC is computed cross-sectionally at each date t across all assets, then averaged over time:</w:t>
      </w:r>
    </w:p>
    <w:p>
      <w:pPr>
        <w:shd w:fill="EEF2F7" w:val="clear"/>
        <w:spacing w:after="80" w:before="80"/>
        <w:ind w:left="720"/>
      </w:pPr>
      <w:r>
        <w:rPr>
          <w:rFonts w:ascii="Courier New" w:cs="Courier New" w:eastAsia="Courier New" w:hAnsi="Courier New"/>
          <w:color w:val="1F3864"/>
          <w:sz w:val="22"/>
          <w:szCs w:val="22"/>
        </w:rPr>
        <w:t xml:space="preserve">  IC_mean = mean(IC(t), t = 1..T)</w:t>
      </w:r>
    </w:p>
    <w:p>
      <w:pPr>
        <w:shd w:fill="EEF2F7" w:val="clear"/>
        <w:spacing w:after="80" w:before="80"/>
        <w:ind w:left="720"/>
      </w:pPr>
      <w:r>
        <w:rPr>
          <w:rFonts w:ascii="Courier New" w:cs="Courier New" w:eastAsia="Courier New" w:hAnsi="Courier New"/>
          <w:color w:val="1F3864"/>
          <w:sz w:val="22"/>
          <w:szCs w:val="22"/>
        </w:rPr>
        <w:t xml:space="preserve">  IC_std  = std(IC(t), t = 1..T)</w:t>
      </w:r>
    </w:p>
    <w:p>
      <w:pPr>
        <w:spacing w:after="120"/>
        <w:ind w:left="360"/>
      </w:pPr>
      <w:r>
        <w:rPr>
          <w:rFonts w:ascii="Arial" w:cs="Arial" w:eastAsia="Arial" w:hAnsi="Arial"/>
          <w:i/>
          <w:iCs/>
          <w:color w:val="555555"/>
          <w:sz w:val="20"/>
          <w:szCs w:val="20"/>
        </w:rPr>
        <w:t xml:space="preserve">Note: A positive IC_mean &gt; 0.02 is the minimum threshold for a Phase 1 signal to be considered.</w:t>
      </w:r>
    </w:p>
    <w:p>
      <w:pPr>
        <w:spacing w:after="80"/>
      </w:pPr>
      <w:r>
        <w:t xml:space="preserve"/>
      </w:r>
    </w:p>
    <w:p>
      <w:pPr>
        <w:pStyle w:val="Heading2"/>
      </w:pPr>
      <w:r>
        <w:t xml:space="preserve">6.2 Information Coefficient Information Ratio (ICIR)</w:t>
      </w:r>
    </w:p>
    <w:p>
      <w:pPr>
        <w:spacing w:after="120"/>
      </w:pPr>
      <w:r>
        <w:rPr>
          <w:rFonts w:ascii="Arial" w:cs="Arial" w:eastAsia="Arial" w:hAnsi="Arial"/>
          <w:sz w:val="22"/>
          <w:szCs w:val="22"/>
        </w:rPr>
        <w:t xml:space="preserve">The ICIR measures the consistency of the IC over time — a high IC mean with high variance is less valuable than a moderate IC mean with low variance.</w:t>
      </w:r>
    </w:p>
    <w:p>
      <w:pPr>
        <w:shd w:fill="EEF2F7" w:val="clear"/>
        <w:spacing w:after="80" w:before="80"/>
        <w:ind w:left="720"/>
      </w:pPr>
      <w:r>
        <w:rPr>
          <w:rFonts w:ascii="Courier New" w:cs="Courier New" w:eastAsia="Courier New" w:hAnsi="Courier New"/>
          <w:color w:val="1F3864"/>
          <w:sz w:val="22"/>
          <w:szCs w:val="22"/>
        </w:rPr>
        <w:t xml:space="preserve">  ICIR = IC_mean / IC_std</w:t>
      </w:r>
    </w:p>
    <w:p>
      <w:pPr>
        <w:spacing w:after="120"/>
      </w:pPr>
      <w:r>
        <w:rPr>
          <w:rFonts w:ascii="Arial" w:cs="Arial" w:eastAsia="Arial" w:hAnsi="Arial"/>
          <w:sz w:val="22"/>
          <w:szCs w:val="22"/>
        </w:rPr>
        <w:t xml:space="preserve">The ICIR is analogous to a Sharpe ratio for the signal's predictive power. Target threshold: ICIR &gt; 0.3.</w:t>
      </w:r>
    </w:p>
    <w:p>
      <w:pPr>
        <w:spacing w:after="80"/>
      </w:pPr>
      <w:r>
        <w:t xml:space="preserve"/>
      </w:r>
    </w:p>
    <w:p>
      <w:pPr>
        <w:pStyle w:val="Heading2"/>
      </w:pPr>
      <w:r>
        <w:t xml:space="preserve">6.3 Forward Return Convention</w:t>
      </w:r>
    </w:p>
    <w:p>
      <w:pPr>
        <w:spacing w:after="120"/>
      </w:pPr>
      <w:r>
        <w:rPr>
          <w:rFonts w:ascii="Arial" w:cs="Arial" w:eastAsia="Arial" w:hAnsi="Arial"/>
          <w:sz w:val="22"/>
          <w:szCs w:val="22"/>
        </w:rPr>
        <w:t xml:space="preserve">To avoid lookahead bias, forward returns include an execution lag of +1 period:</w:t>
      </w:r>
    </w:p>
    <w:p>
      <w:pPr>
        <w:shd w:fill="EEF2F7" w:val="clear"/>
        <w:spacing w:after="80" w:before="80"/>
        <w:ind w:left="720"/>
      </w:pPr>
      <w:r>
        <w:rPr>
          <w:rFonts w:ascii="Courier New" w:cs="Courier New" w:eastAsia="Courier New" w:hAnsi="Courier New"/>
          <w:color w:val="1F3864"/>
          <w:sz w:val="22"/>
          <w:szCs w:val="22"/>
        </w:rPr>
        <w:t xml:space="preserve">  fwd_return(t, h) = log_return.shift(-(h + 1))</w:t>
      </w:r>
    </w:p>
    <w:p>
      <w:pPr>
        <w:spacing w:after="120"/>
      </w:pPr>
      <w:r>
        <w:rPr>
          <w:rFonts w:ascii="Arial" w:cs="Arial" w:eastAsia="Arial" w:hAnsi="Arial"/>
          <w:sz w:val="22"/>
          <w:szCs w:val="22"/>
        </w:rPr>
        <w:t xml:space="preserve">At horizon h=1 day with execution lag: signal at t predicts return from t+2 to t+2. The +1 accounts for the fact that a signal computed at close on day t can only be executed at the open or close of day t+1.</w:t>
      </w:r>
    </w:p>
    <w:p>
      <w:pPr>
        <w:spacing w:after="80"/>
      </w:pPr>
      <w:r>
        <w:t xml:space="preserve"/>
      </w:r>
    </w:p>
    <w:p>
      <w:pPr>
        <w:pStyle w:val="Heading2"/>
      </w:pPr>
      <w:r>
        <w:t xml:space="preserve">6.4 Hit Rate</w:t>
      </w:r>
    </w:p>
    <w:p>
      <w:pPr>
        <w:spacing w:after="120"/>
      </w:pPr>
      <w:r>
        <w:rPr>
          <w:rFonts w:ascii="Arial" w:cs="Arial" w:eastAsia="Arial" w:hAnsi="Arial"/>
          <w:sz w:val="22"/>
          <w:szCs w:val="22"/>
        </w:rPr>
        <w:t xml:space="preserve">Hit rate measures the fraction of non-zero signal observations where the predicted direction matches the actual return direction:</w:t>
      </w:r>
    </w:p>
    <w:p>
      <w:pPr>
        <w:shd w:fill="EEF2F7" w:val="clear"/>
        <w:spacing w:after="80" w:before="80"/>
        <w:ind w:left="720"/>
      </w:pPr>
      <w:r>
        <w:rPr>
          <w:rFonts w:ascii="Courier New" w:cs="Courier New" w:eastAsia="Courier New" w:hAnsi="Courier New"/>
          <w:color w:val="1F3864"/>
          <w:sz w:val="22"/>
          <w:szCs w:val="22"/>
        </w:rPr>
        <w:t xml:space="preserve">  hit_rate = mean(sign(signal(t)) == sign(fwd_return(t)))  for signal(t) != 0</w:t>
      </w:r>
    </w:p>
    <w:p>
      <w:pPr>
        <w:spacing w:after="120"/>
        <w:ind w:left="360"/>
      </w:pPr>
      <w:r>
        <w:rPr>
          <w:rFonts w:ascii="Arial" w:cs="Arial" w:eastAsia="Arial" w:hAnsi="Arial"/>
          <w:i/>
          <w:iCs/>
          <w:color w:val="555555"/>
          <w:sz w:val="20"/>
          <w:szCs w:val="20"/>
        </w:rPr>
        <w:t xml:space="preserve">Note: Zero signal values are excluded — they represent no position, not a wrong prediction.</w:t>
      </w:r>
    </w:p>
    <w:p>
      <w:pPr>
        <w:spacing w:after="120"/>
      </w:pPr>
      <w:r>
        <w:rPr>
          <w:rFonts w:ascii="Arial" w:cs="Arial" w:eastAsia="Arial" w:hAnsi="Arial"/>
          <w:sz w:val="22"/>
          <w:szCs w:val="22"/>
        </w:rPr>
        <w:t xml:space="preserve">A hit rate above 0.5 (50%) indicates better-than-random directional accuracy. For a carry signal with sparse positions, hit rate is more informative than IC.</w:t>
      </w:r>
    </w:p>
    <w:p>
      <w:pPr>
        <w:spacing w:after="80"/>
      </w:pPr>
      <w:r>
        <w:t xml:space="preserve"/>
      </w:r>
    </w:p>
    <w:p>
      <w:pPr>
        <w:pStyle w:val="Heading2"/>
      </w:pPr>
      <w:r>
        <w:t xml:space="preserve">6.5 Signal Sharpe Ratio</w:t>
      </w:r>
    </w:p>
    <w:p>
      <w:pPr>
        <w:spacing w:after="120"/>
      </w:pPr>
      <w:r>
        <w:rPr>
          <w:rFonts w:ascii="Arial" w:cs="Arial" w:eastAsia="Arial" w:hAnsi="Arial"/>
          <w:sz w:val="22"/>
          <w:szCs w:val="22"/>
        </w:rPr>
        <w:t xml:space="preserve">The signal Sharpe measures the risk-adjusted return of a strategy that sizes positions proportionally to the signal:</w:t>
      </w:r>
    </w:p>
    <w:p>
      <w:pPr>
        <w:shd w:fill="EEF2F7" w:val="clear"/>
        <w:spacing w:after="80" w:before="80"/>
        <w:ind w:left="720"/>
      </w:pPr>
      <w:r>
        <w:rPr>
          <w:rFonts w:ascii="Courier New" w:cs="Courier New" w:eastAsia="Courier New" w:hAnsi="Courier New"/>
          <w:color w:val="1F3864"/>
          <w:sz w:val="22"/>
          <w:szCs w:val="22"/>
        </w:rPr>
        <w:t xml:space="preserve">  daily_pnl(t) = signal(t) * fwd_return(t)</w:t>
      </w:r>
    </w:p>
    <w:p>
      <w:pPr>
        <w:shd w:fill="EEF2F7" w:val="clear"/>
        <w:spacing w:after="80" w:before="80"/>
        <w:ind w:left="720"/>
      </w:pPr>
      <w:r>
        <w:rPr>
          <w:rFonts w:ascii="Courier New" w:cs="Courier New" w:eastAsia="Courier New" w:hAnsi="Courier New"/>
          <w:color w:val="1F3864"/>
          <w:sz w:val="22"/>
          <w:szCs w:val="22"/>
        </w:rPr>
        <w:t xml:space="preserve">  signal_sharpe = mean(daily_pnl) / std(daily_pnl) * sqrt(252)</w:t>
      </w:r>
    </w:p>
    <w:p>
      <w:pPr>
        <w:spacing w:after="120"/>
      </w:pPr>
      <w:r>
        <w:rPr>
          <w:rFonts w:ascii="Arial" w:cs="Arial" w:eastAsia="Arial" w:hAnsi="Arial"/>
          <w:sz w:val="22"/>
          <w:szCs w:val="22"/>
        </w:rPr>
        <w:t xml:space="preserve">This is a gross Sharpe (before transaction costs) and serves as an upper bound on achievable performance.</w:t>
      </w:r>
    </w:p>
    <w:p>
      <w:pPr>
        <w:spacing w:after="80"/>
      </w:pPr>
      <w:r>
        <w:t xml:space="preserve"/>
      </w:r>
    </w:p>
    <w:p>
      <w:pPr>
        <w:pStyle w:val="Heading2"/>
      </w:pPr>
      <w:r>
        <w:t xml:space="preserve">6.6 Evaluation Horizons</w:t>
      </w:r>
    </w:p>
    <w:p>
      <w:pPr>
        <w:spacing w:after="120"/>
      </w:pPr>
      <w:r>
        <w:rPr>
          <w:rFonts w:ascii="Arial" w:cs="Arial" w:eastAsia="Arial" w:hAnsi="Arial"/>
          <w:sz w:val="22"/>
          <w:szCs w:val="22"/>
        </w:rPr>
        <w:t xml:space="preserve">All signals are evaluated at four horizons to identify the natural rebalancing frequency: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400"/>
        <w:gridCol w:w="5400"/>
      </w:tblGrid>
      <w:tr>
        <w:tc>
          <w:tcPr>
            <w:tcW w:type="dxa" w:w="1560"/>
            <w:tcBorders>
              <w:top w:val="single" w:color="2E4B7A" w:sz="1"/>
              <w:left w:val="single" w:color="2E4B7A" w:sz="1"/>
              <w:bottom w:val="single" w:color="2E4B7A" w:sz="1"/>
              <w:right w:val="single" w:color="2E4B7A" w:sz="1"/>
            </w:tcBorders>
            <w:shd w:fill="2E4B7A" w:val="clear"/>
            <w:tcMar>
              <w:top w:type="dxa" w:w="80"/>
              <w:left w:type="dxa" w:w="120"/>
              <w:bottom w:type="dxa" w:w="80"/>
              <w:right w:type="dxa" w:w="120"/>
            </w:tcMar>
          </w:tcPr>
          <w:p>
            <w:r>
              <w:rPr>
                <w:rFonts w:ascii="Arial" w:cs="Arial" w:eastAsia="Arial" w:hAnsi="Arial"/>
                <w:b/>
                <w:bCs/>
                <w:color w:val="FFFFFF"/>
                <w:sz w:val="20"/>
                <w:szCs w:val="20"/>
              </w:rPr>
              <w:t xml:space="preserve">Horizon</w:t>
            </w:r>
          </w:p>
        </w:tc>
        <w:tc>
          <w:tcPr>
            <w:tcW w:type="dxa" w:w="2400"/>
            <w:tcBorders>
              <w:top w:val="single" w:color="2E4B7A" w:sz="1"/>
              <w:left w:val="single" w:color="2E4B7A" w:sz="1"/>
              <w:bottom w:val="single" w:color="2E4B7A" w:sz="1"/>
              <w:right w:val="single" w:color="2E4B7A" w:sz="1"/>
            </w:tcBorders>
            <w:shd w:fill="2E4B7A" w:val="clear"/>
            <w:tcMar>
              <w:top w:type="dxa" w:w="80"/>
              <w:left w:type="dxa" w:w="120"/>
              <w:bottom w:type="dxa" w:w="80"/>
              <w:right w:type="dxa" w:w="120"/>
            </w:tcMar>
          </w:tcPr>
          <w:p>
            <w:r>
              <w:rPr>
                <w:rFonts w:ascii="Arial" w:cs="Arial" w:eastAsia="Arial" w:hAnsi="Arial"/>
                <w:b/>
                <w:bCs/>
                <w:color w:val="FFFFFF"/>
                <w:sz w:val="20"/>
                <w:szCs w:val="20"/>
              </w:rPr>
              <w:t xml:space="preserve">Trading Days</w:t>
            </w:r>
          </w:p>
        </w:tc>
        <w:tc>
          <w:tcPr>
            <w:tcW w:type="dxa" w:w="5400"/>
            <w:tcBorders>
              <w:top w:val="single" w:color="2E4B7A" w:sz="1"/>
              <w:left w:val="single" w:color="2E4B7A" w:sz="1"/>
              <w:bottom w:val="single" w:color="2E4B7A" w:sz="1"/>
              <w:right w:val="single" w:color="2E4B7A" w:sz="1"/>
            </w:tcBorders>
            <w:shd w:fill="2E4B7A" w:val="clear"/>
            <w:tcMar>
              <w:top w:type="dxa" w:w="80"/>
              <w:left w:type="dxa" w:w="120"/>
              <w:bottom w:type="dxa" w:w="80"/>
              <w:right w:type="dxa" w:w="120"/>
            </w:tcMar>
          </w:tcPr>
          <w:p>
            <w:r>
              <w:rPr>
                <w:rFonts w:ascii="Arial" w:cs="Arial" w:eastAsia="Arial" w:hAnsi="Arial"/>
                <w:b/>
                <w:bCs/>
                <w:color w:val="FFFFFF"/>
                <w:sz w:val="20"/>
                <w:szCs w:val="20"/>
              </w:rPr>
              <w:t xml:space="preserve">Interpretation</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Daily — intraday signals, high-frequency strategies</w:t>
            </w:r>
          </w:p>
        </w:tc>
      </w:tr>
      <w:tr>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5d / 1w</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5</w:t>
            </w:r>
          </w:p>
        </w:tc>
        <w:tc>
          <w:tcPr>
            <w:tcW w:type="dxa" w:w="5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Weekly — short-term momentum, mean reversion</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21d / 1m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21</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Monthly — carry signals, medium-term momentum</w:t>
            </w:r>
          </w:p>
        </w:tc>
      </w:tr>
      <w:tr>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63d / 1q</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63</w:t>
            </w:r>
          </w:p>
        </w:tc>
        <w:tc>
          <w:tcPr>
            <w:tcW w:type="dxa" w:w="5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Quarterly — macro signals, value signals</w:t>
            </w:r>
          </w:p>
        </w:tc>
      </w:tr>
    </w:tbl>
    <w:p>
      <w:pPr>
        <w:spacing w:after="80"/>
      </w:pPr>
      <w:r>
        <w:t xml:space="preserve"/>
      </w:r>
    </w:p>
    <w:p>
      <w:pPr>
        <w:pStyle w:val="Heading1"/>
      </w:pPr>
      <w:r>
        <w:t xml:space="preserve">7. Overfitting Corrections</w:t>
      </w:r>
    </w:p>
    <w:p>
      <w:pPr>
        <w:spacing w:after="120"/>
      </w:pPr>
      <w:r>
        <w:rPr>
          <w:rFonts w:ascii="Arial" w:cs="Arial" w:eastAsia="Arial" w:hAnsi="Arial"/>
          <w:sz w:val="22"/>
          <w:szCs w:val="22"/>
        </w:rPr>
        <w:t xml:space="preserve">All signals must pass three statistical corrections before being accepted. These are not optional — they are baked into the evaluation pipeline to prevent selecting strategies that look good only due to chance or data mining.</w:t>
      </w:r>
    </w:p>
    <w:p>
      <w:pPr>
        <w:spacing w:after="80"/>
      </w:pPr>
      <w:r>
        <w:t xml:space="preserve"/>
      </w:r>
    </w:p>
    <w:p>
      <w:pPr>
        <w:pStyle w:val="Heading2"/>
      </w:pPr>
      <w:r>
        <w:t xml:space="preserve">7.1 Deflated Sharpe Ratio (DSR)</w:t>
      </w:r>
    </w:p>
    <w:p>
      <w:pPr>
        <w:spacing w:after="120"/>
      </w:pPr>
      <w:r>
        <w:rPr>
          <w:rFonts w:ascii="Arial" w:cs="Arial" w:eastAsia="Arial" w:hAnsi="Arial"/>
          <w:sz w:val="22"/>
          <w:szCs w:val="22"/>
        </w:rPr>
        <w:t xml:space="preserve">Reference: Bailey &amp; Lopez de Prado (2014). The DSR adjusts the observed Sharpe ratio downward to account for: the number of strategies tested, non-normality of returns (skewness and kurtosis), and the length of the return series.</w:t>
      </w:r>
    </w:p>
    <w:p>
      <w:pPr>
        <w:shd w:fill="EEF2F7" w:val="clear"/>
        <w:spacing w:after="80" w:before="80"/>
        <w:ind w:left="720"/>
      </w:pPr>
      <w:r>
        <w:rPr>
          <w:rFonts w:ascii="Courier New" w:cs="Courier New" w:eastAsia="Courier New" w:hAnsi="Courier New"/>
          <w:color w:val="1F3864"/>
          <w:sz w:val="22"/>
          <w:szCs w:val="22"/>
        </w:rPr>
        <w:t xml:space="preserve">  E[max SR] = sqrt(V) * ((1 - gamma) * Z_inv(1 - 1/n) + gamma * Z_inv(1 - 1/(n*e)))</w:t>
      </w:r>
    </w:p>
    <w:p>
      <w:pPr>
        <w:spacing w:after="120"/>
      </w:pPr>
      <w:r>
        <w:rPr>
          <w:rFonts w:ascii="Arial" w:cs="Arial" w:eastAsia="Arial" w:hAnsi="Arial"/>
          <w:sz w:val="22"/>
          <w:szCs w:val="22"/>
        </w:rPr>
        <w:t xml:space="preserve">Where V is the variance of SR estimates, n is number of trials, gamma is the Euler-Mascheroni constant.</w:t>
      </w:r>
    </w:p>
    <w:p>
      <w:pPr>
        <w:shd w:fill="EEF2F7" w:val="clear"/>
        <w:spacing w:after="80" w:before="80"/>
        <w:ind w:left="720"/>
      </w:pPr>
      <w:r>
        <w:rPr>
          <w:rFonts w:ascii="Courier New" w:cs="Courier New" w:eastAsia="Courier New" w:hAnsi="Courier New"/>
          <w:color w:val="1F3864"/>
          <w:sz w:val="22"/>
          <w:szCs w:val="22"/>
        </w:rPr>
        <w:t xml:space="preserve">  DSR = SR_observed / E[max SR]</w:t>
      </w:r>
    </w:p>
    <w:p>
      <w:pPr>
        <w:spacing w:after="120"/>
      </w:pPr>
      <w:r>
        <w:rPr>
          <w:rFonts w:ascii="Arial" w:cs="Arial" w:eastAsia="Arial" w:hAnsi="Arial"/>
          <w:sz w:val="22"/>
          <w:szCs w:val="22"/>
        </w:rPr>
        <w:t xml:space="preserve">Interpretation: DSR &gt; 0 means the strategy outperforms the expected maximum Sharpe under the null of no skill. DSR &gt; 0.5 is considered robust.</w:t>
      </w:r>
    </w:p>
    <w:p>
      <w:pPr>
        <w:spacing w:after="120"/>
        <w:ind w:left="360"/>
      </w:pPr>
      <w:r>
        <w:rPr>
          <w:rFonts w:ascii="Arial" w:cs="Arial" w:eastAsia="Arial" w:hAnsi="Arial"/>
          <w:i/>
          <w:iCs/>
          <w:color w:val="555555"/>
          <w:sz w:val="20"/>
          <w:szCs w:val="20"/>
        </w:rPr>
        <w:t xml:space="preserve">Note: Phase 1 results: DSR = 1.0 for Equity Momentum (10-stock, later found to be spurious), DSR = 0.0 for all signals on proper evaluation.</w:t>
      </w:r>
    </w:p>
    <w:p>
      <w:pPr>
        <w:spacing w:after="80"/>
      </w:pPr>
      <w:r>
        <w:t xml:space="preserve"/>
      </w:r>
    </w:p>
    <w:p>
      <w:pPr>
        <w:pStyle w:val="Heading2"/>
      </w:pPr>
      <w:r>
        <w:t xml:space="preserve">7.2 Probability of Backtest Overfitting (PBO)</w:t>
      </w:r>
    </w:p>
    <w:p>
      <w:pPr>
        <w:spacing w:after="120"/>
      </w:pPr>
      <w:r>
        <w:rPr>
          <w:rFonts w:ascii="Arial" w:cs="Arial" w:eastAsia="Arial" w:hAnsi="Arial"/>
          <w:sz w:val="22"/>
          <w:szCs w:val="22"/>
        </w:rPr>
        <w:t xml:space="preserve">Reference: Bailey et al. (2014). PBO uses combinatorial symmetric cross-validation to estimate the probability that the best in-sample strategy underperforms out-of-sample.</w:t>
      </w:r>
    </w:p>
    <w:p>
      <w:pPr>
        <w:spacing w:after="120"/>
      </w:pPr>
      <w:r>
        <w:rPr>
          <w:rFonts w:ascii="Arial" w:cs="Arial" w:eastAsia="Arial" w:hAnsi="Arial"/>
          <w:sz w:val="22"/>
          <w:szCs w:val="22"/>
        </w:rPr>
        <w:t xml:space="preserve">Steps:</w:t>
      </w:r>
    </w:p>
    <w:p>
      <w:pPr>
        <w:pStyle w:val="ListParagraph"/>
        <w:numPr>
          <w:ilvl w:val="0"/>
          <w:numId w:val="2"/>
        </w:numPr>
        <w:spacing w:after="80"/>
      </w:pPr>
      <w:r>
        <w:rPr>
          <w:rFonts w:ascii="Arial" w:cs="Arial" w:eastAsia="Arial" w:hAnsi="Arial"/>
          <w:sz w:val="22"/>
          <w:szCs w:val="22"/>
        </w:rPr>
        <w:t xml:space="preserve">Partition the return time series into N subsets (default N=16)</w:t>
      </w:r>
    </w:p>
    <w:p>
      <w:pPr>
        <w:pStyle w:val="ListParagraph"/>
        <w:numPr>
          <w:ilvl w:val="0"/>
          <w:numId w:val="2"/>
        </w:numPr>
        <w:spacing w:after="80"/>
      </w:pPr>
      <w:r>
        <w:rPr>
          <w:rFonts w:ascii="Arial" w:cs="Arial" w:eastAsia="Arial" w:hAnsi="Arial"/>
          <w:sz w:val="22"/>
          <w:szCs w:val="22"/>
        </w:rPr>
        <w:t xml:space="preserve">Enumerate all combinations of N/2 subsets as the training set</w:t>
      </w:r>
    </w:p>
    <w:p>
      <w:pPr>
        <w:pStyle w:val="ListParagraph"/>
        <w:numPr>
          <w:ilvl w:val="0"/>
          <w:numId w:val="2"/>
        </w:numPr>
        <w:spacing w:after="80"/>
      </w:pPr>
      <w:r>
        <w:rPr>
          <w:rFonts w:ascii="Arial" w:cs="Arial" w:eastAsia="Arial" w:hAnsi="Arial"/>
          <w:sz w:val="22"/>
          <w:szCs w:val="22"/>
        </w:rPr>
        <w:t xml:space="preserve">For each combination: find best parameter configuration in-sample</w:t>
      </w:r>
    </w:p>
    <w:p>
      <w:pPr>
        <w:pStyle w:val="ListParagraph"/>
        <w:numPr>
          <w:ilvl w:val="0"/>
          <w:numId w:val="2"/>
        </w:numPr>
        <w:spacing w:after="80"/>
      </w:pPr>
      <w:r>
        <w:rPr>
          <w:rFonts w:ascii="Arial" w:cs="Arial" w:eastAsia="Arial" w:hAnsi="Arial"/>
          <w:sz w:val="22"/>
          <w:szCs w:val="22"/>
        </w:rPr>
        <w:t xml:space="preserve">Evaluate that configuration out-of-sample</w:t>
      </w:r>
    </w:p>
    <w:p>
      <w:pPr>
        <w:pStyle w:val="ListParagraph"/>
        <w:numPr>
          <w:ilvl w:val="0"/>
          <w:numId w:val="2"/>
        </w:numPr>
        <w:spacing w:after="80"/>
      </w:pPr>
      <w:r>
        <w:rPr>
          <w:rFonts w:ascii="Arial" w:cs="Arial" w:eastAsia="Arial" w:hAnsi="Arial"/>
          <w:sz w:val="22"/>
          <w:szCs w:val="22"/>
        </w:rPr>
        <w:t xml:space="preserve">PBO = fraction of trials where best in-sample underperforms median out-of-sample</w:t>
      </w:r>
    </w:p>
    <w:p>
      <w:pPr>
        <w:shd w:fill="EEF2F7" w:val="clear"/>
        <w:spacing w:after="80" w:before="80"/>
        <w:ind w:left="720"/>
      </w:pPr>
      <w:r>
        <w:rPr>
          <w:rFonts w:ascii="Courier New" w:cs="Courier New" w:eastAsia="Courier New" w:hAnsi="Courier New"/>
          <w:color w:val="1F3864"/>
          <w:sz w:val="22"/>
          <w:szCs w:val="22"/>
        </w:rPr>
        <w:t xml:space="preserve">  PBO in [0, 1] — lower is better. Reject signal if PBO &gt; 0.5</w:t>
      </w:r>
    </w:p>
    <w:p>
      <w:pPr>
        <w:spacing w:after="120"/>
        <w:ind w:left="360"/>
      </w:pPr>
      <w:r>
        <w:rPr>
          <w:rFonts w:ascii="Arial" w:cs="Arial" w:eastAsia="Arial" w:hAnsi="Arial"/>
          <w:i/>
          <w:iCs/>
          <w:color w:val="555555"/>
          <w:sz w:val="20"/>
          <w:szCs w:val="20"/>
        </w:rPr>
        <w:t xml:space="preserve">Note: PBO requires 2+ parameter configurations to compare. Not applicable for single-config signals in Phase 1.</w:t>
      </w:r>
    </w:p>
    <w:p>
      <w:pPr>
        <w:spacing w:after="80"/>
      </w:pPr>
      <w:r>
        <w:t xml:space="preserve"/>
      </w:r>
    </w:p>
    <w:p>
      <w:pPr>
        <w:pStyle w:val="Heading2"/>
      </w:pPr>
      <w:r>
        <w:t xml:space="preserve">7.3 Hansen's SPA Test</w:t>
      </w:r>
    </w:p>
    <w:p>
      <w:pPr>
        <w:spacing w:after="120"/>
      </w:pPr>
      <w:r>
        <w:rPr>
          <w:rFonts w:ascii="Arial" w:cs="Arial" w:eastAsia="Arial" w:hAnsi="Arial"/>
          <w:sz w:val="22"/>
          <w:szCs w:val="22"/>
        </w:rPr>
        <w:t xml:space="preserve">Reference: Hansen (2005). The SPA (Superior Predictive Ability) test determines whether the best strategy among a set of candidates genuinely outperforms a benchmark, accounting for the data-snooping bias inherent in selecting the 'best' from many candidates.</w:t>
      </w:r>
    </w:p>
    <w:p>
      <w:pPr>
        <w:shd w:fill="EEF2F7" w:val="clear"/>
        <w:spacing w:after="80" w:before="80"/>
        <w:ind w:left="720"/>
      </w:pPr>
      <w:r>
        <w:rPr>
          <w:rFonts w:ascii="Courier New" w:cs="Courier New" w:eastAsia="Courier New" w:hAnsi="Courier New"/>
          <w:color w:val="1F3864"/>
          <w:sz w:val="22"/>
          <w:szCs w:val="22"/>
        </w:rPr>
        <w:t xml:space="preserve">  H0: no strategy in the candidate set outperforms the benchmark</w:t>
      </w:r>
    </w:p>
    <w:p>
      <w:pPr>
        <w:shd w:fill="EEF2F7" w:val="clear"/>
        <w:spacing w:after="80" w:before="80"/>
        <w:ind w:left="720"/>
      </w:pPr>
      <w:r>
        <w:rPr>
          <w:rFonts w:ascii="Courier New" w:cs="Courier New" w:eastAsia="Courier New" w:hAnsi="Courier New"/>
          <w:color w:val="1F3864"/>
          <w:sz w:val="22"/>
          <w:szCs w:val="22"/>
        </w:rPr>
        <w:t xml:space="preserve">  H1: at least one strategy genuinely outperforms the benchmark</w:t>
      </w:r>
    </w:p>
    <w:p>
      <w:pPr>
        <w:spacing w:after="120"/>
      </w:pPr>
      <w:r>
        <w:rPr>
          <w:rFonts w:ascii="Arial" w:cs="Arial" w:eastAsia="Arial" w:hAnsi="Arial"/>
          <w:sz w:val="22"/>
          <w:szCs w:val="22"/>
        </w:rPr>
        <w:t xml:space="preserve">The test uses bootstrap resampling to construct the distribution of the maximum performance statistic under the null. A low p-value (&lt; 0.05) allows rejection of H0.</w:t>
      </w:r>
    </w:p>
    <w:p>
      <w:pPr>
        <w:shd w:fill="EEF2F7" w:val="clear"/>
        <w:spacing w:after="80" w:before="80"/>
        <w:ind w:left="720"/>
      </w:pPr>
      <w:r>
        <w:rPr>
          <w:rFonts w:ascii="Courier New" w:cs="Courier New" w:eastAsia="Courier New" w:hAnsi="Courier New"/>
          <w:color w:val="1F3864"/>
          <w:sz w:val="22"/>
          <w:szCs w:val="22"/>
        </w:rPr>
        <w:t xml:space="preserve">  SPA p-value &lt; 0.05  =&gt;  reject H0  =&gt;  signal has genuine predictive ability</w:t>
      </w:r>
    </w:p>
    <w:p>
      <w:pPr>
        <w:spacing w:after="80"/>
      </w:pPr>
      <w:r>
        <w:t xml:space="preserve"/>
      </w:r>
    </w:p>
    <w:p>
      <w:pPr>
        <w:pStyle w:val="Heading1"/>
      </w:pPr>
      <w:r>
        <w:t xml:space="preserve">8. Configuration</w:t>
      </w:r>
    </w:p>
    <w:p>
      <w:pPr>
        <w:spacing w:after="120"/>
      </w:pPr>
      <w:r>
        <w:rPr>
          <w:rFonts w:ascii="Arial" w:cs="Arial" w:eastAsia="Arial" w:hAnsi="Arial"/>
          <w:sz w:val="22"/>
          <w:szCs w:val="22"/>
        </w:rPr>
        <w:t xml:space="preserve">All signal parameters are stored in YAML files under configs/signals/. No parameters are hardcoded in src/. This allows parameter changes without code edits and makes the full specification reproducible.</w:t>
      </w:r>
    </w:p>
    <w:p>
      <w:pPr>
        <w:spacing w:after="120"/>
      </w:pPr>
      <w:r>
        <w:rPr>
          <w:rFonts w:ascii="Arial" w:cs="Arial" w:eastAsia="Arial" w:hAnsi="Arial"/>
          <w:sz w:val="22"/>
          <w:szCs w:val="22"/>
        </w:rPr>
        <w:t xml:space="preserve">Example: configs/signals/fx_carry.yaml</w:t>
      </w:r>
    </w:p>
    <w:p>
      <w:pPr>
        <w:shd w:fill="EEF2F7" w:val="clear"/>
        <w:spacing w:after="80" w:before="80"/>
        <w:ind w:left="720"/>
      </w:pPr>
      <w:r>
        <w:rPr>
          <w:rFonts w:ascii="Courier New" w:cs="Courier New" w:eastAsia="Courier New" w:hAnsi="Courier New"/>
          <w:color w:val="1F3864"/>
          <w:sz w:val="22"/>
          <w:szCs w:val="22"/>
        </w:rPr>
        <w:t xml:space="preserve">  signal:</w:t>
      </w:r>
    </w:p>
    <w:p>
      <w:pPr>
        <w:shd w:fill="EEF2F7" w:val="clear"/>
        <w:spacing w:after="80" w:before="80"/>
        <w:ind w:left="720"/>
      </w:pPr>
      <w:r>
        <w:rPr>
          <w:rFonts w:ascii="Courier New" w:cs="Courier New" w:eastAsia="Courier New" w:hAnsi="Courier New"/>
          <w:color w:val="1F3864"/>
          <w:sz w:val="22"/>
          <w:szCs w:val="22"/>
        </w:rPr>
        <w:t xml:space="preserve">    name: fx_carry</w:t>
      </w:r>
    </w:p>
    <w:p>
      <w:pPr>
        <w:shd w:fill="EEF2F7" w:val="clear"/>
        <w:spacing w:after="80" w:before="80"/>
        <w:ind w:left="720"/>
      </w:pPr>
      <w:r>
        <w:rPr>
          <w:rFonts w:ascii="Courier New" w:cs="Courier New" w:eastAsia="Courier New" w:hAnsi="Courier New"/>
          <w:color w:val="1F3864"/>
          <w:sz w:val="22"/>
          <w:szCs w:val="22"/>
        </w:rPr>
        <w:t xml:space="preserve">    asset_class: fx</w:t>
      </w:r>
    </w:p>
    <w:p>
      <w:pPr>
        <w:shd w:fill="EEF2F7" w:val="clear"/>
        <w:spacing w:after="80" w:before="80"/>
        <w:ind w:left="720"/>
      </w:pPr>
      <w:r>
        <w:rPr>
          <w:rFonts w:ascii="Courier New" w:cs="Courier New" w:eastAsia="Courier New" w:hAnsi="Courier New"/>
          <w:color w:val="1F3864"/>
          <w:sz w:val="22"/>
          <w:szCs w:val="22"/>
        </w:rPr>
        <w:t xml:space="preserve">    signal_type: carry</w:t>
      </w:r>
    </w:p>
    <w:p>
      <w:pPr>
        <w:shd w:fill="EEF2F7" w:val="clear"/>
        <w:spacing w:after="80" w:before="80"/>
        <w:ind w:left="720"/>
      </w:pPr>
      <w:r>
        <w:rPr>
          <w:rFonts w:ascii="Courier New" w:cs="Courier New" w:eastAsia="Courier New" w:hAnsi="Courier New"/>
          <w:color w:val="1F3864"/>
          <w:sz w:val="22"/>
          <w:szCs w:val="22"/>
        </w:rPr>
        <w:t xml:space="preserve">    frequency: daily</w:t>
      </w:r>
    </w:p>
    <w:p>
      <w:pPr>
        <w:shd w:fill="EEF2F7" w:val="clear"/>
        <w:spacing w:after="80" w:before="80"/>
        <w:ind w:left="720"/>
      </w:pPr>
      <w:r>
        <w:rPr>
          <w:rFonts w:ascii="Courier New" w:cs="Courier New" w:eastAsia="Courier New" w:hAnsi="Courier New"/>
          <w:color w:val="1F3864"/>
          <w:sz w:val="22"/>
          <w:szCs w:val="22"/>
        </w:rPr>
        <w:t xml:space="preserve">  parameters:</w:t>
      </w:r>
    </w:p>
    <w:p>
      <w:pPr>
        <w:shd w:fill="EEF2F7" w:val="clear"/>
        <w:spacing w:after="80" w:before="80"/>
        <w:ind w:left="720"/>
      </w:pPr>
      <w:r>
        <w:rPr>
          <w:rFonts w:ascii="Courier New" w:cs="Courier New" w:eastAsia="Courier New" w:hAnsi="Courier New"/>
          <w:color w:val="1F3864"/>
          <w:sz w:val="22"/>
          <w:szCs w:val="22"/>
        </w:rPr>
        <w:t xml:space="preserve">    rate_series:</w:t>
      </w:r>
    </w:p>
    <w:p>
      <w:pPr>
        <w:shd w:fill="EEF2F7" w:val="clear"/>
        <w:spacing w:after="80" w:before="80"/>
        <w:ind w:left="720"/>
      </w:pPr>
      <w:r>
        <w:rPr>
          <w:rFonts w:ascii="Courier New" w:cs="Courier New" w:eastAsia="Courier New" w:hAnsi="Courier New"/>
          <w:color w:val="1F3864"/>
          <w:sz w:val="22"/>
          <w:szCs w:val="22"/>
        </w:rPr>
        <w:t xml:space="preserve">      USD: DFF</w:t>
      </w:r>
    </w:p>
    <w:p>
      <w:pPr>
        <w:shd w:fill="EEF2F7" w:val="clear"/>
        <w:spacing w:after="80" w:before="80"/>
        <w:ind w:left="720"/>
      </w:pPr>
      <w:r>
        <w:rPr>
          <w:rFonts w:ascii="Courier New" w:cs="Courier New" w:eastAsia="Courier New" w:hAnsi="Courier New"/>
          <w:color w:val="1F3864"/>
          <w:sz w:val="22"/>
          <w:szCs w:val="22"/>
        </w:rPr>
        <w:t xml:space="preserve">      EUR: IR3TIB01EZM156N</w:t>
      </w:r>
    </w:p>
    <w:p>
      <w:pPr>
        <w:shd w:fill="EEF2F7" w:val="clear"/>
        <w:spacing w:after="80" w:before="80"/>
        <w:ind w:left="720"/>
      </w:pPr>
      <w:r>
        <w:rPr>
          <w:rFonts w:ascii="Courier New" w:cs="Courier New" w:eastAsia="Courier New" w:hAnsi="Courier New"/>
          <w:color w:val="1F3864"/>
          <w:sz w:val="22"/>
          <w:szCs w:val="22"/>
        </w:rPr>
        <w:t xml:space="preserve">      GBP: IR3TIB01GBM156N</w:t>
      </w:r>
    </w:p>
    <w:p>
      <w:pPr>
        <w:shd w:fill="EEF2F7" w:val="clear"/>
        <w:spacing w:after="80" w:before="80"/>
        <w:ind w:left="720"/>
      </w:pPr>
      <w:r>
        <w:rPr>
          <w:rFonts w:ascii="Courier New" w:cs="Courier New" w:eastAsia="Courier New" w:hAnsi="Courier New"/>
          <w:color w:val="1F3864"/>
          <w:sz w:val="22"/>
          <w:szCs w:val="22"/>
        </w:rPr>
        <w:t xml:space="preserve">    lookback_smooth: 1</w:t>
      </w:r>
    </w:p>
    <w:p>
      <w:pPr>
        <w:shd w:fill="EEF2F7" w:val="clear"/>
        <w:spacing w:after="80" w:before="80"/>
        <w:ind w:left="720"/>
      </w:pPr>
      <w:r>
        <w:rPr>
          <w:rFonts w:ascii="Courier New" w:cs="Courier New" w:eastAsia="Courier New" w:hAnsi="Courier New"/>
          <w:color w:val="1F3864"/>
          <w:sz w:val="22"/>
          <w:szCs w:val="22"/>
        </w:rPr>
        <w:t xml:space="preserve">    n_long: 2</w:t>
      </w:r>
    </w:p>
    <w:p>
      <w:pPr>
        <w:shd w:fill="EEF2F7" w:val="clear"/>
        <w:spacing w:after="80" w:before="80"/>
        <w:ind w:left="720"/>
      </w:pPr>
      <w:r>
        <w:rPr>
          <w:rFonts w:ascii="Courier New" w:cs="Courier New" w:eastAsia="Courier New" w:hAnsi="Courier New"/>
          <w:color w:val="1F3864"/>
          <w:sz w:val="22"/>
          <w:szCs w:val="22"/>
        </w:rPr>
        <w:t xml:space="preserve">    n_short: 2</w:t>
      </w:r>
    </w:p>
    <w:p>
      <w:pPr>
        <w:spacing w:after="80"/>
      </w:pPr>
      <w:r>
        <w:t xml:space="preserve"/>
      </w:r>
    </w:p>
    <w:p>
      <w:pPr>
        <w:pStyle w:val="Heading1"/>
      </w:pPr>
      <w:r>
        <w:t xml:space="preserve">9. Planned Phase 5 Upgrades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2E4B7A" w:sz="1"/>
              <w:left w:val="single" w:color="2E4B7A" w:sz="1"/>
              <w:bottom w:val="single" w:color="2E4B7A" w:sz="1"/>
              <w:right w:val="single" w:color="2E4B7A" w:sz="1"/>
            </w:tcBorders>
            <w:shd w:fill="2E4B7A"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3280"/>
            <w:tcBorders>
              <w:top w:val="single" w:color="2E4B7A" w:sz="1"/>
              <w:left w:val="single" w:color="2E4B7A" w:sz="1"/>
              <w:bottom w:val="single" w:color="2E4B7A" w:sz="1"/>
              <w:right w:val="single" w:color="2E4B7A" w:sz="1"/>
            </w:tcBorders>
            <w:shd w:fill="2E4B7A"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3280"/>
            <w:tcBorders>
              <w:top w:val="single" w:color="2E4B7A" w:sz="1"/>
              <w:left w:val="single" w:color="2E4B7A" w:sz="1"/>
              <w:bottom w:val="single" w:color="2E4B7A" w:sz="1"/>
              <w:right w:val="single" w:color="2E4B7A" w:sz="1"/>
            </w:tcBorders>
            <w:shd w:fill="2E4B7A"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Frequency Layer</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Manual resampling required for monthly signals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frequency parameter to SignalEvaluator</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G10 FX Expansion</w:t>
            </w:r>
          </w:p>
        </w:tc>
        <w:tc>
          <w:tcPr>
            <w:tcW w:type="dxa" w:w="32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Only 3 currencies — cross-section too thin</w:t>
            </w:r>
          </w:p>
        </w:tc>
        <w:tc>
          <w:tcPr>
            <w:tcW w:type="dxa" w:w="32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Add AUD, NZD, CAD, JPY, CHF (7 total)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Equity Universe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 stocks — IC not robust</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Expand to 200+ stocks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Rates Regime Filter</w:t>
            </w:r>
          </w:p>
        </w:tc>
        <w:tc>
          <w:tcPr>
            <w:tcW w:type="dxa" w:w="32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Signal fails post-trend</w:t>
            </w:r>
          </w:p>
        </w:tc>
        <w:tc>
          <w:tcPr>
            <w:tcW w:type="dxa" w:w="32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Gate on trailing 63d TLT vol &gt; 0.8%</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Daily Rate Data</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EUR/GBP rates are monthly FRED</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Source daily rate data for true daily signal</w:t>
            </w:r>
          </w:p>
        </w:tc>
      </w:tr>
    </w:tbl>
    <w:p>
      <w:pPr>
        <w:spacing w:after="80"/>
      </w:pPr>
      <w:r>
        <w:t xml:space="preserve"/>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Phase 2 — Signal Engine  |  Systematic Trading System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4B7A" w:sz="6" w:space="1"/>
      </w:pBd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4B7A"/>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2026-05-14T14:39:49.147Z</dcterms:created>
  <dcterms:modified xsi:type="dcterms:W3CDTF">2026-05-14T14:39:49.147Z</dcterms:modified>
</cp:coreProperties>
</file>

<file path=docProps/custom.xml><?xml version="1.0" encoding="utf-8"?>
<Properties xmlns="http://schemas.openxmlformats.org/officeDocument/2006/custom-properties" xmlns:vt="http://schemas.openxmlformats.org/officeDocument/2006/docPropsVTypes"/>
</file>