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5C2E"/>
          <w:sz w:val="52"/>
          <w:szCs w:val="52"/>
        </w:rPr>
        <w:t xml:space="preserve">Phase 3 — Portfolio Engine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Systematic Multi-Asset Trading System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Reference Document  |  May 2026</w:t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Portfolio Engine (Phase 3) transforms normalised signal outputs from the Signal Engine into position sizes, target weights, and cost-adjusted P&amp;L. It sits between the Signal Engine and the Backtest Engine in the system architecture.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engine has three components: CostModel (transaction cost estimation), PositionSizer (converting signals to position sizes), and PortfolioConstructor (assembling the full portfolio subject to risk and exposure constraints).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contract in: pd.Series indexed by (date, asset) with values in [-1, 1].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contract out: pd.DataFrame of target weights with index=date, columns=instruments, values summing to 0 for long-short or 1 for long-only.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Position Sizing</w:t>
      </w:r>
    </w:p>
    <w:p>
      <w:pPr>
        <w:pStyle w:val="Heading2"/>
      </w:pPr>
      <w:r>
        <w:t xml:space="preserve">2.1 Volatility Targeting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default sizing method. Each position is sized so that the ex-ante contribution to portfolio volatility is proportional to the signal strength, scaled to achieve a target portfolio volatility.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 — Estimate instrument volatility using rolling realised vol: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sigma_i(t) = std(daily_log_returns_i, window=60) * sqrt(252)  [annualised]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2 — Compute raw (unsized) weight from signal and volatility: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raw_i(t) = signal_i(t) / sigma_i(t)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Dividing by volatility means a high-volatility instrument gets a smaller position for the same signal strength, so each position contributes equal risk per unit of signal.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3 — Scale portfolio to target volatility: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sigma_portfolio(t) = sqrt(raw(t)' * Sigma(t) * raw(t))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scale(t) = sigma_target / sigma_portfolio(t)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weight_i(t) = raw_i(t) * scale(t)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Where sigma_target is the target annualised portfolio volatility (default: 10%). Sigma(t) is the covariance matrix estimated from rolling 60-day returns.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In practice, for Phase 1 with few instruments, we use a diagonal approximation of Sigma (i.e. assume zero correlations) for stability.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2.2 Risk Parity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Risk parity allocates equal risk budget across asset classes first (between-class parity), then sizes instruments within each class by inverse volatility.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 — Assign each asset class an equal risk budget: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class_budget = 1 / n_asset_classes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Phase 1 with three asset classes (FX, Rates, Equities): class_budget = 1/3 each.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2 — Within each asset class, size by signal / volatility as in vol targeting: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raw_cls_i(t) = signal_i(t) / sigma_i(t)   for i in asset class cls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denom_cls(t) = sum(|raw_cls_i(t)|)  for i in asset class cls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weight_cls_i(t) = raw_cls_i(t) / denom_cls(t) * class_budget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ensures the total gross exposure of each asset class is exactly class_budget, regardless of how many instruments are in it or how volatile they are.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3 — Scale full portfolio to target volatility (same as vol targeting step 3).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2.3 Kelly Criterion (Reference Only)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Kelly criterion sizes positions to maximise long-run log growth rate. For a signal with IC = rho and instrument Sharpe SR: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Kelly_fraction = SR^2 / (1 + SR^2)   [full Kelly]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Half_Kelly = Kelly_fraction / 2       [recommended in practice]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Kelly is implemented as a reference and upper-bound check only. It is not used as the primary sizing method until the strategy has 2+ years of live history. Reasons: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Kelly requires accurate Sharpe estimates — these are unreliable over short periods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Kelly leads to catastrophic drawdowns under model misspecification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Half-Kelly is commonly used in practice but still aggressive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If vol-targeted positions exceed half-Kelly at any point, this triggers a review. It should not happen with the current parameter settings.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Exposure Constraints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portfolios are subject to gross and net exposure limits defined in configs/portfolio/risk_limits.yaml.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1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gross_limit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sum(|weight_i|) &lt;= gross_limit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net_limit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|sum(weight_i)| &lt;= net_limit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max_single_weight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single position &gt; 30% of portfolio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target_vol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annualised portfolio volatility (10%)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vol_window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window for realised volatility estimation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vol-targeted portfolio violates gross or net limits, weights are scaled down proportionally until the constraint is satisfied. Position-level clipping is applied after portfolio scaling.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Cost Model</w:t>
      </w:r>
    </w:p>
    <w:p>
      <w:pPr>
        <w:pStyle w:val="Heading2"/>
      </w:pPr>
      <w:r>
        <w:t xml:space="preserve">4.1 Cost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Transaction costs have three components. All are modelled conservatively (biased high) to avoid overestimating net performance.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Component 1 — Commission: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commission = max(n_shares * commission_per_share, min_commission)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IB schedule (Phase 1 default): $0.005/share, $1.00 minimum per order.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Component 2 — Bid-ask spread: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spread_cost = trade_size * spread_bps / 10000 / 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division by 2 reflects that half the spread is paid on entry (we pay the ask, not the mid). Conservative spread assumptions by instrument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 Type</w:t>
            </w:r>
          </w:p>
        </w:tc>
        <w:tc>
          <w:tcPr>
            <w:tcW w:type="dxa" w:w="15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Spread (bps)</w:t>
            </w:r>
          </w:p>
        </w:tc>
        <w:tc>
          <w:tcPr>
            <w:tcW w:type="dxa" w:w="468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G10 FX spot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liquid market in the world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Treasury ETFs (TLT, IEF)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Highly liquid, tight spreads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Large-cap equities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 by name and time of day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Component 3 — Market impact (Almgren-Chriss linear model):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impact = impact_coeff * (trade_size / ADV)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Where ADV is the average daily volume and impact_coeff controls the magnitude. Linear model used for Phase 1. Square-root model planned for Phase 2 (more realistic for larger trades).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4.2 Total Cost and Net Returns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total_cost_i = commission_i + spread_cost_i + impact_i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net_return(t) = gross_return(t) - sum(total_cost_i(t)) / portfolio_value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Costs are applied at every rebalance. The frequency of rebalancing therefore has a significant impact on net performance — high-turnover strategies incur costs at every step.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4.3 Cost Drag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cost drag is the annualised reduction in Sharpe ratio due to transaction costs. It depends on signal turnover: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turnover = mean(|weight(t) - weight(t-1)|, t = 1..T)   [daily]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annual_cost_drag = turnover * 252 * avg_cost_per_trade_bps / 10000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 monthly-rebalancing signal with 30bps round-trip cost and 50% monthly turnover: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annual_cost_drag = 0.5 * 12 * 0.0030 = 1.8% per year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This is why transaction cost modelling is non-optional. A strategy with 8% gross return and 3% cost drag has a 5% net return — meaningfully different from the gross number.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Portfolio Constructor</w:t>
      </w:r>
    </w:p>
    <w:p>
      <w:pPr>
        <w:pStyle w:val="Heading2"/>
      </w:pPr>
      <w:r>
        <w:t xml:space="preserve">5.1 Construction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PortfolioConstructor assembles the full portfolio from signal inputs, applying sizing, constraints, and cost estimation in sequence: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1: Align signal matrix and price matrix on common dates and instruments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2: Estimate realised volatility per instrument (rolling window)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3: Compute raw weights via selected sizing method (vol_target or risk_parity)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4: Scale to target portfolio volatility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5: Apply gross and net exposure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6: Clip individual positions to max_single_weight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7: Compute trade matrix (trades[t] = weights[t] - weights[t-1])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8: Estimate transaction costs per trade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5.2 Rebalancing and Trade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full trade log is generated at every rebalance. Each entry records: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Rebalance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Ticker/pair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old_weight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before rebalance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new_weight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weight after rebalance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trade_size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weight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estimated_cost_bps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Round-trip transaction cost estimate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signal_value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value that drove this trade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Phase 1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Portfolio backtested on Rates Trend signal (TLT, 2010-2024) as end-to-end validation: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In-Sample (2010-2019)</w:t>
            </w:r>
          </w:p>
        </w:tc>
        <w:tc>
          <w:tcPr>
            <w:tcW w:type="dxa" w:w="312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OOS (2020-2024)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Sharpe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-0.52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Sharpe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-0.55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Turnover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Drag (bps/yr)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OOS Sharpe of -0.52 is expected given the 2022 rates shock. The cost model confirms that transaction costs are not the primary driver of underperformance — the signal itself fails in the post-2022 regime. See Phase 2 document for signal-level results.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Configuration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configs/portfolio/sizing.yaml — sizing method and vol target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method: vol_target   # or risk_parity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target_vol: 0.10     # 10% annualised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vol_window: 60       # rolling days for sigma estimate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max_single_weight: 0.30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configs/portfolio/costs.yaml — spread assumptions by instrument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spreads_bps: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  fx_g10: 1.5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  rates_etf: 2.0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  equity_largecap: 5.0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commission_per_share: 0.005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min_commission: 1.00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configs/portfolio/risk_limits.yaml — exposure constraints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gross_limit: 2.0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net_limit: 0.5</w:t>
      </w:r>
    </w:p>
    <w:p>
      <w:pPr>
        <w:shd w:fill="EEF2F7" w:val="clear"/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max_drawdown_stop: 0.20   # halt if portfolio drawdown exceeds 20%</w:t>
      </w:r>
    </w:p>
    <w:p>
      <w:pPr>
        <w:spacing w:after="8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Phase 3 — Portfolio Engine  |  Systematic Trading System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2E" w:sz="6" w:space="1"/>
      </w:pBdr>
      <w:spacing w:after="180" w:before="360"/>
      <w:outlineLvl w:val="0"/>
    </w:pPr>
    <w:rPr>
      <w:rFonts w:ascii="Arial" w:cs="Arial" w:eastAsia="Arial" w:hAnsi="Arial"/>
      <w:b/>
      <w:bCs/>
      <w:color w:val="1F5C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5C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2026-05-14T14:41:06.358Z</dcterms:created>
  <dcterms:modified xsi:type="dcterms:W3CDTF">2026-05-14T14:41:06.358Z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