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6B1A1A"/>
          <w:sz w:val="52"/>
          <w:szCs w:val="52"/>
        </w:rPr>
        <w:t xml:space="preserve">Phase 4 — Backtest Engine</w:t>
      </w:r>
    </w:p>
    <w:p>
      <w:pPr>
        <w:spacing w:after="120"/>
        <w:jc w:val="center"/>
      </w:pPr>
      <w:r>
        <w:rPr>
          <w:rFonts w:ascii="Arial" w:cs="Arial" w:eastAsia="Arial" w:hAnsi="Arial"/>
          <w:i/>
          <w:iCs/>
          <w:color w:val="555555"/>
          <w:sz w:val="28"/>
          <w:szCs w:val="28"/>
        </w:rPr>
        <w:t xml:space="preserve">Systematic Multi-Asset Trading System</w:t>
      </w:r>
    </w:p>
    <w:p>
      <w:pPr>
        <w:spacing w:after="480"/>
        <w:jc w:val="center"/>
      </w:pPr>
      <w:r>
        <w:rPr>
          <w:rFonts w:ascii="Arial" w:cs="Arial" w:eastAsia="Arial" w:hAnsi="Arial"/>
          <w:color w:val="888888"/>
          <w:sz w:val="22"/>
          <w:szCs w:val="22"/>
        </w:rPr>
        <w:t xml:space="preserve">Reference Document  |  May 2026</w:t>
      </w:r>
    </w:p>
    <w:p>
      <w:pPr>
        <w:pStyle w:val="Heading1"/>
      </w:pPr>
      <w:r>
        <w:t xml:space="preserve">1. Overview</w:t>
      </w:r>
    </w:p>
    <w:p>
      <w:pPr>
        <w:spacing w:after="120"/>
      </w:pPr>
      <w:r>
        <w:rPr>
          <w:rFonts w:ascii="Arial" w:cs="Arial" w:eastAsia="Arial" w:hAnsi="Arial"/>
          <w:sz w:val="22"/>
          <w:szCs w:val="22"/>
        </w:rPr>
        <w:t xml:space="preserve">The Backtest Engine (Phase 4) is the final validation layer before paper trading. It simulates how the combined signal and portfolio system would have performed historically, while rigorously controlling for the two primary failure modes of backtesting: lookahead bias and overfitting.</w:t>
      </w:r>
    </w:p>
    <w:p>
      <w:pPr>
        <w:spacing w:after="120"/>
      </w:pPr>
      <w:r>
        <w:rPr>
          <w:rFonts w:ascii="Arial" w:cs="Arial" w:eastAsia="Arial" w:hAnsi="Arial"/>
          <w:sz w:val="22"/>
          <w:szCs w:val="22"/>
        </w:rPr>
        <w:t xml:space="preserve">The engine has three components:</w:t>
      </w:r>
    </w:p>
    <w:p>
      <w:pPr>
        <w:pStyle w:val="ListParagraph"/>
        <w:numPr>
          <w:ilvl w:val="0"/>
          <w:numId w:val="2"/>
        </w:numPr>
        <w:spacing w:after="80"/>
      </w:pPr>
      <w:r>
        <w:rPr>
          <w:rFonts w:ascii="Arial" w:cs="Arial" w:eastAsia="Arial" w:hAnsi="Arial"/>
          <w:sz w:val="22"/>
          <w:szCs w:val="22"/>
        </w:rPr>
        <w:t xml:space="preserve">BacktestEngine — core simulation loop with strict no-lookahead enforcement</w:t>
      </w:r>
    </w:p>
    <w:p>
      <w:pPr>
        <w:pStyle w:val="ListParagraph"/>
        <w:numPr>
          <w:ilvl w:val="0"/>
          <w:numId w:val="2"/>
        </w:numPr>
        <w:spacing w:after="80"/>
      </w:pPr>
      <w:r>
        <w:rPr>
          <w:rFonts w:ascii="Arial" w:cs="Arial" w:eastAsia="Arial" w:hAnsi="Arial"/>
          <w:sz w:val="22"/>
          <w:szCs w:val="22"/>
        </w:rPr>
        <w:t xml:space="preserve">WalkForwardEngine — out-of-sample validation via anchored or rolling windows</w:t>
      </w:r>
    </w:p>
    <w:p>
      <w:pPr>
        <w:pStyle w:val="ListParagraph"/>
        <w:numPr>
          <w:ilvl w:val="0"/>
          <w:numId w:val="2"/>
        </w:numPr>
        <w:spacing w:after="80"/>
      </w:pPr>
      <w:r>
        <w:rPr>
          <w:rFonts w:ascii="Arial" w:cs="Arial" w:eastAsia="Arial" w:hAnsi="Arial"/>
          <w:sz w:val="22"/>
          <w:szCs w:val="22"/>
        </w:rPr>
        <w:t xml:space="preserve">CPCVEngine — Combinatorial Purged Cross-Validation, producing a distribution of OOS Sharpe ratios rather than a single number</w:t>
      </w:r>
    </w:p>
    <w:p>
      <w:pPr>
        <w:spacing w:after="80"/>
      </w:pPr>
      <w:r>
        <w:t xml:space="preserve"/>
      </w:r>
    </w:p>
    <w:p>
      <w:pPr>
        <w:spacing w:after="120"/>
      </w:pPr>
      <w:r>
        <w:rPr>
          <w:rFonts w:ascii="Arial" w:cs="Arial" w:eastAsia="Arial" w:hAnsi="Arial"/>
          <w:sz w:val="22"/>
          <w:szCs w:val="22"/>
        </w:rPr>
        <w:t xml:space="preserve">A key principle: a backtest is not evidence of future performance. It is a necessary but not sufficient condition for proceeding. The question is not 'did this work historically?' but 'is there a statistically credible reason to believe it will continue to work?'</w:t>
      </w:r>
    </w:p>
    <w:p>
      <w:pPr>
        <w:spacing w:after="80"/>
      </w:pPr>
      <w:r>
        <w:t xml:space="preserve"/>
      </w:r>
    </w:p>
    <w:p>
      <w:pPr>
        <w:pStyle w:val="Heading1"/>
      </w:pPr>
      <w:r>
        <w:t xml:space="preserve">2. No-Lookahead Enforcement</w:t>
      </w:r>
    </w:p>
    <w:p>
      <w:pPr>
        <w:pStyle w:val="Heading2"/>
      </w:pPr>
      <w:r>
        <w:t xml:space="preserve">2.1 The Problem</w:t>
      </w:r>
    </w:p>
    <w:p>
      <w:pPr>
        <w:spacing w:after="120"/>
      </w:pPr>
      <w:r>
        <w:rPr>
          <w:rFonts w:ascii="Arial" w:cs="Arial" w:eastAsia="Arial" w:hAnsi="Arial"/>
          <w:sz w:val="22"/>
          <w:szCs w:val="22"/>
        </w:rPr>
        <w:t xml:space="preserve">Lookahead bias occurs when a model uses information at time t that would not have been available at time t in reality. It is the single most common source of spurious backtest performance. Even small violations can generate large Sharpe ratios from noise.</w:t>
      </w:r>
    </w:p>
    <w:p>
      <w:pPr>
        <w:spacing w:after="120"/>
      </w:pPr>
      <w:r>
        <w:rPr>
          <w:rFonts w:ascii="Arial" w:cs="Arial" w:eastAsia="Arial" w:hAnsi="Arial"/>
          <w:sz w:val="22"/>
          <w:szCs w:val="22"/>
        </w:rPr>
        <w:t xml:space="preserve">Common sources of lookahead bias:</w:t>
      </w:r>
    </w:p>
    <w:p>
      <w:pPr>
        <w:pStyle w:val="ListParagraph"/>
        <w:numPr>
          <w:ilvl w:val="0"/>
          <w:numId w:val="2"/>
        </w:numPr>
        <w:spacing w:after="80"/>
      </w:pPr>
      <w:r>
        <w:rPr>
          <w:rFonts w:ascii="Arial" w:cs="Arial" w:eastAsia="Arial" w:hAnsi="Arial"/>
          <w:sz w:val="22"/>
          <w:szCs w:val="22"/>
        </w:rPr>
        <w:t xml:space="preserve">Using adjusted prices that incorporate future corporate actions</w:t>
      </w:r>
    </w:p>
    <w:p>
      <w:pPr>
        <w:pStyle w:val="ListParagraph"/>
        <w:numPr>
          <w:ilvl w:val="0"/>
          <w:numId w:val="2"/>
        </w:numPr>
        <w:spacing w:after="80"/>
      </w:pPr>
      <w:r>
        <w:rPr>
          <w:rFonts w:ascii="Arial" w:cs="Arial" w:eastAsia="Arial" w:hAnsi="Arial"/>
          <w:sz w:val="22"/>
          <w:szCs w:val="22"/>
        </w:rPr>
        <w:t xml:space="preserve">Normalising a signal using statistics computed over the full sample period</w:t>
      </w:r>
    </w:p>
    <w:p>
      <w:pPr>
        <w:pStyle w:val="ListParagraph"/>
        <w:numPr>
          <w:ilvl w:val="0"/>
          <w:numId w:val="2"/>
        </w:numPr>
        <w:spacing w:after="80"/>
      </w:pPr>
      <w:r>
        <w:rPr>
          <w:rFonts w:ascii="Arial" w:cs="Arial" w:eastAsia="Arial" w:hAnsi="Arial"/>
          <w:sz w:val="22"/>
          <w:szCs w:val="22"/>
        </w:rPr>
        <w:t xml:space="preserve">Using revised macro data instead of the data available at the time (FRED revisions)</w:t>
      </w:r>
    </w:p>
    <w:p>
      <w:pPr>
        <w:pStyle w:val="ListParagraph"/>
        <w:numPr>
          <w:ilvl w:val="0"/>
          <w:numId w:val="2"/>
        </w:numPr>
        <w:spacing w:after="80"/>
      </w:pPr>
      <w:r>
        <w:rPr>
          <w:rFonts w:ascii="Arial" w:cs="Arial" w:eastAsia="Arial" w:hAnsi="Arial"/>
          <w:sz w:val="22"/>
          <w:szCs w:val="22"/>
        </w:rPr>
        <w:t xml:space="preserve">Computing forward returns incorrectly — using return from t to t+h when the signal can only be acted on at t+1</w:t>
      </w:r>
    </w:p>
    <w:p>
      <w:pPr>
        <w:pStyle w:val="ListParagraph"/>
        <w:numPr>
          <w:ilvl w:val="0"/>
          <w:numId w:val="2"/>
        </w:numPr>
        <w:spacing w:after="80"/>
      </w:pPr>
      <w:r>
        <w:rPr>
          <w:rFonts w:ascii="Arial" w:cs="Arial" w:eastAsia="Arial" w:hAnsi="Arial"/>
          <w:sz w:val="22"/>
          <w:szCs w:val="22"/>
        </w:rPr>
        <w:t xml:space="preserve">Train/test contamination — fitting parameters on data that overlaps with the test period</w:t>
      </w:r>
    </w:p>
    <w:p>
      <w:pPr>
        <w:spacing w:after="80"/>
      </w:pPr>
      <w:r>
        <w:t xml:space="preserve"/>
      </w:r>
    </w:p>
    <w:p>
      <w:pPr>
        <w:pStyle w:val="Heading2"/>
      </w:pPr>
      <w:r>
        <w:t xml:space="preserve">2.2 How the Engine Enforces No-Lookahead</w:t>
      </w:r>
    </w:p>
    <w:p>
      <w:pPr>
        <w:spacing w:after="120"/>
      </w:pPr>
      <w:r>
        <w:rPr>
          <w:rFonts w:ascii="Arial" w:cs="Arial" w:eastAsia="Arial" w:hAnsi="Arial"/>
          <w:sz w:val="22"/>
          <w:szCs w:val="22"/>
        </w:rPr>
        <w:t xml:space="preserve">The BacktestEngine enforces no-lookahead at the loop level. At each time step t:</w:t>
      </w:r>
    </w:p>
    <w:p>
      <w:pPr>
        <w:pStyle w:val="ListParagraph"/>
        <w:numPr>
          <w:ilvl w:val="0"/>
          <w:numId w:val="2"/>
        </w:numPr>
        <w:spacing w:after="80"/>
      </w:pPr>
      <w:r>
        <w:rPr>
          <w:rFonts w:ascii="Arial" w:cs="Arial" w:eastAsia="Arial" w:hAnsi="Arial"/>
          <w:sz w:val="22"/>
          <w:szCs w:val="22"/>
        </w:rPr>
        <w:t xml:space="preserve">Data is sliced to index &lt;= t before being passed to any signal.compute() call</w:t>
      </w:r>
    </w:p>
    <w:p>
      <w:pPr>
        <w:pStyle w:val="ListParagraph"/>
        <w:numPr>
          <w:ilvl w:val="0"/>
          <w:numId w:val="2"/>
        </w:numPr>
        <w:spacing w:after="80"/>
      </w:pPr>
      <w:r>
        <w:rPr>
          <w:rFonts w:ascii="Arial" w:cs="Arial" w:eastAsia="Arial" w:hAnsi="Arial"/>
          <w:sz w:val="22"/>
          <w:szCs w:val="22"/>
        </w:rPr>
        <w:t xml:space="preserve">Signal normalisation uses only rolling statistics (rolling z-score, rolling percentile) — never full-sample statistics</w:t>
      </w:r>
    </w:p>
    <w:p>
      <w:pPr>
        <w:pStyle w:val="ListParagraph"/>
        <w:numPr>
          <w:ilvl w:val="0"/>
          <w:numId w:val="2"/>
        </w:numPr>
        <w:spacing w:after="80"/>
      </w:pPr>
      <w:r>
        <w:rPr>
          <w:rFonts w:ascii="Arial" w:cs="Arial" w:eastAsia="Arial" w:hAnsi="Arial"/>
          <w:sz w:val="22"/>
          <w:szCs w:val="22"/>
        </w:rPr>
        <w:t xml:space="preserve">Forward returns are computed with the convention: fwd(t, h) = log_return.shift(-(h+1)), where +1 is the execution lag</w:t>
      </w:r>
    </w:p>
    <w:p>
      <w:pPr>
        <w:pStyle w:val="ListParagraph"/>
        <w:numPr>
          <w:ilvl w:val="0"/>
          <w:numId w:val="2"/>
        </w:numPr>
        <w:spacing w:after="80"/>
      </w:pPr>
      <w:r>
        <w:rPr>
          <w:rFonts w:ascii="Arial" w:cs="Arial" w:eastAsia="Arial" w:hAnsi="Arial"/>
          <w:sz w:val="22"/>
          <w:szCs w:val="22"/>
        </w:rPr>
        <w:t xml:space="preserve">Alfred vintages are used for FRED macro data — the version of the data available at time t, not the revised version</w:t>
      </w:r>
    </w:p>
    <w:p>
      <w:pPr>
        <w:spacing w:after="80"/>
      </w:pPr>
      <w:r>
        <w:t xml:space="preserve"/>
      </w:r>
    </w:p>
    <w:p>
      <w:pPr>
        <w:spacing w:after="120"/>
      </w:pPr>
      <w:r>
        <w:rPr>
          <w:rFonts w:ascii="Arial" w:cs="Arial" w:eastAsia="Arial" w:hAnsi="Arial"/>
          <w:sz w:val="22"/>
          <w:szCs w:val="22"/>
        </w:rPr>
        <w:t xml:space="preserve">Additionally, each signal implements its own internal shift (px = close.shift(1)) as a second layer of protection. The two-layer approach means a bug in one layer does not automatically propagate.</w:t>
      </w:r>
    </w:p>
    <w:p>
      <w:pPr>
        <w:spacing w:after="80"/>
      </w:pPr>
      <w:r>
        <w:t xml:space="preserve"/>
      </w:r>
    </w:p>
    <w:p>
      <w:pPr>
        <w:spacing w:after="120"/>
      </w:pPr>
      <w:r>
        <w:rPr>
          <w:rFonts w:ascii="Arial" w:cs="Arial" w:eastAsia="Arial" w:hAnsi="Arial"/>
          <w:sz w:val="22"/>
          <w:szCs w:val="22"/>
        </w:rPr>
        <w:t xml:space="preserve">Lookahead bias test (mandatory for every signal):</w:t>
      </w:r>
    </w:p>
    <w:p>
      <w:pPr>
        <w:shd w:fill="EEF2F7" w:val="clear"/>
        <w:spacing w:after="80" w:before="80"/>
        <w:ind w:left="720"/>
      </w:pPr>
      <w:r>
        <w:rPr>
          <w:rFonts w:ascii="Courier New" w:cs="Courier New" w:eastAsia="Courier New" w:hAnsi="Courier New"/>
          <w:color w:val="1F3864"/>
          <w:sz w:val="22"/>
          <w:szCs w:val="22"/>
        </w:rPr>
        <w:t xml:space="preserve">  # Perturb data at t+1, verify signal at t is unchanged</w:t>
      </w:r>
    </w:p>
    <w:p>
      <w:pPr>
        <w:shd w:fill="EEF2F7" w:val="clear"/>
        <w:spacing w:after="80" w:before="80"/>
        <w:ind w:left="720"/>
      </w:pPr>
      <w:r>
        <w:rPr>
          <w:rFonts w:ascii="Courier New" w:cs="Courier New" w:eastAsia="Courier New" w:hAnsi="Courier New"/>
          <w:color w:val="1F3864"/>
          <w:sz w:val="22"/>
          <w:szCs w:val="22"/>
        </w:rPr>
        <w:t xml:space="preserve">  data_perturbed = data.copy()</w:t>
      </w:r>
    </w:p>
    <w:p>
      <w:pPr>
        <w:shd w:fill="EEF2F7" w:val="clear"/>
        <w:spacing w:after="80" w:before="80"/>
        <w:ind w:left="720"/>
      </w:pPr>
      <w:r>
        <w:rPr>
          <w:rFonts w:ascii="Courier New" w:cs="Courier New" w:eastAsia="Courier New" w:hAnsi="Courier New"/>
          <w:color w:val="1F3864"/>
          <w:sz w:val="22"/>
          <w:szCs w:val="22"/>
        </w:rPr>
        <w:t xml:space="preserve">  data_perturbed.iloc[t+1] = data_perturbed.iloc[t+1] * 999</w:t>
      </w:r>
    </w:p>
    <w:p>
      <w:pPr>
        <w:shd w:fill="EEF2F7" w:val="clear"/>
        <w:spacing w:after="80" w:before="80"/>
        <w:ind w:left="720"/>
      </w:pPr>
      <w:r>
        <w:rPr>
          <w:rFonts w:ascii="Courier New" w:cs="Courier New" w:eastAsia="Courier New" w:hAnsi="Courier New"/>
          <w:color w:val="1F3864"/>
          <w:sz w:val="22"/>
          <w:szCs w:val="22"/>
        </w:rPr>
        <w:t xml:space="preserve">  assert signal.compute(data)[t] == signal.compute(data_perturbed)[t]</w:t>
      </w:r>
    </w:p>
    <w:p>
      <w:pPr>
        <w:spacing w:after="80"/>
      </w:pPr>
      <w:r>
        <w:t xml:space="preserve"/>
      </w:r>
    </w:p>
    <w:p>
      <w:pPr>
        <w:pStyle w:val="Heading1"/>
      </w:pPr>
      <w:r>
        <w:t xml:space="preserve">3. Walk-Forward Validation</w:t>
      </w:r>
    </w:p>
    <w:p>
      <w:pPr>
        <w:pStyle w:val="Heading2"/>
      </w:pPr>
      <w:r>
        <w:t xml:space="preserve">3.1 Why Walk-Forward</w:t>
      </w:r>
    </w:p>
    <w:p>
      <w:pPr>
        <w:spacing w:after="120"/>
      </w:pPr>
      <w:r>
        <w:rPr>
          <w:rFonts w:ascii="Arial" w:cs="Arial" w:eastAsia="Arial" w:hAnsi="Arial"/>
          <w:sz w:val="22"/>
          <w:szCs w:val="22"/>
        </w:rPr>
        <w:t xml:space="preserve">A single in-sample/out-of-sample split produces a single OOS Sharpe estimate with high variance — one good or bad OOS period can dominate the result. Walk-forward validation produces multiple OOS estimates by repeatedly sliding the evaluation window forward, giving a more stable and credible picture.</w:t>
      </w:r>
    </w:p>
    <w:p>
      <w:pPr>
        <w:spacing w:after="80"/>
      </w:pPr>
      <w:r>
        <w:t xml:space="preserve"/>
      </w:r>
    </w:p>
    <w:p>
      <w:pPr>
        <w:pStyle w:val="Heading2"/>
      </w:pPr>
      <w:r>
        <w:t xml:space="preserve">3.2 Anchored Expanding Window</w:t>
      </w:r>
    </w:p>
    <w:p>
      <w:pPr>
        <w:spacing w:after="120"/>
      </w:pPr>
      <w:r>
        <w:rPr>
          <w:rFonts w:ascii="Arial" w:cs="Arial" w:eastAsia="Arial" w:hAnsi="Arial"/>
          <w:sz w:val="22"/>
          <w:szCs w:val="22"/>
        </w:rPr>
        <w:t xml:space="preserve">The training window grows over time while the test window slides forward. Appropriate for non-stationary signals (carry, macro) where more historical data is generally better.</w:t>
      </w:r>
    </w:p>
    <w:p>
      <w:pPr>
        <w:shd w:fill="EEF2F7" w:val="clear"/>
        <w:spacing w:after="80" w:before="80"/>
        <w:ind w:left="720"/>
      </w:pPr>
      <w:r>
        <w:rPr>
          <w:rFonts w:ascii="Courier New" w:cs="Courier New" w:eastAsia="Courier New" w:hAnsi="Courier New"/>
          <w:color w:val="1F3864"/>
          <w:sz w:val="22"/>
          <w:szCs w:val="22"/>
        </w:rPr>
        <w:t xml:space="preserve">  Train: [start, t]         (grows with each step)</w:t>
      </w:r>
    </w:p>
    <w:p>
      <w:pPr>
        <w:shd w:fill="EEF2F7" w:val="clear"/>
        <w:spacing w:after="80" w:before="80"/>
        <w:ind w:left="720"/>
      </w:pPr>
      <w:r>
        <w:rPr>
          <w:rFonts w:ascii="Courier New" w:cs="Courier New" w:eastAsia="Courier New" w:hAnsi="Courier New"/>
          <w:color w:val="1F3864"/>
          <w:sz w:val="22"/>
          <w:szCs w:val="22"/>
        </w:rPr>
        <w:t xml:space="preserve">  Test:  [t+1, t+test_len]  (fixed length, slides forward)</w:t>
      </w:r>
    </w:p>
    <w:p>
      <w:pPr>
        <w:spacing w:after="120"/>
      </w:pPr>
      <w:r>
        <w:rPr>
          <w:rFonts w:ascii="Arial" w:cs="Arial" w:eastAsia="Arial" w:hAnsi="Arial"/>
          <w:sz w:val="22"/>
          <w:szCs w:val="22"/>
        </w:rPr>
        <w:t xml:space="preserve">Phase 1 default split:</w:t>
      </w:r>
    </w:p>
    <w:p>
      <w:pPr>
        <w:pStyle w:val="ListParagraph"/>
        <w:numPr>
          <w:ilvl w:val="0"/>
          <w:numId w:val="2"/>
        </w:numPr>
        <w:spacing w:after="80"/>
      </w:pPr>
      <w:r>
        <w:rPr>
          <w:rFonts w:ascii="Arial" w:cs="Arial" w:eastAsia="Arial" w:hAnsi="Arial"/>
          <w:sz w:val="22"/>
          <w:szCs w:val="22"/>
        </w:rPr>
        <w:t xml:space="preserve">Training: 2010-01-01 to 2019-12-31 (10 years, anchored)</w:t>
      </w:r>
    </w:p>
    <w:p>
      <w:pPr>
        <w:pStyle w:val="ListParagraph"/>
        <w:numPr>
          <w:ilvl w:val="0"/>
          <w:numId w:val="2"/>
        </w:numPr>
        <w:spacing w:after="80"/>
      </w:pPr>
      <w:r>
        <w:rPr>
          <w:rFonts w:ascii="Arial" w:cs="Arial" w:eastAsia="Arial" w:hAnsi="Arial"/>
          <w:sz w:val="22"/>
          <w:szCs w:val="22"/>
        </w:rPr>
        <w:t xml:space="preserve">Test: 2020-01-01 to present (OOS period)</w:t>
      </w:r>
    </w:p>
    <w:p>
      <w:pPr>
        <w:spacing w:after="120"/>
      </w:pPr>
      <w:r>
        <w:rPr>
          <w:rFonts w:ascii="Arial" w:cs="Arial" w:eastAsia="Arial" w:hAnsi="Arial"/>
          <w:sz w:val="22"/>
          <w:szCs w:val="22"/>
        </w:rPr>
        <w:t xml:space="preserve">The OOS period (2020-present) was deliberately chosen to include:</w:t>
      </w:r>
    </w:p>
    <w:p>
      <w:pPr>
        <w:pStyle w:val="ListParagraph"/>
        <w:numPr>
          <w:ilvl w:val="0"/>
          <w:numId w:val="2"/>
        </w:numPr>
        <w:spacing w:after="80"/>
      </w:pPr>
      <w:r>
        <w:rPr>
          <w:rFonts w:ascii="Arial" w:cs="Arial" w:eastAsia="Arial" w:hAnsi="Arial"/>
          <w:sz w:val="22"/>
          <w:szCs w:val="22"/>
        </w:rPr>
        <w:t xml:space="preserve">COVID crash and recovery (2020) — extreme volatility regime</w:t>
      </w:r>
    </w:p>
    <w:p>
      <w:pPr>
        <w:pStyle w:val="ListParagraph"/>
        <w:numPr>
          <w:ilvl w:val="0"/>
          <w:numId w:val="2"/>
        </w:numPr>
        <w:spacing w:after="80"/>
      </w:pPr>
      <w:r>
        <w:rPr>
          <w:rFonts w:ascii="Arial" w:cs="Arial" w:eastAsia="Arial" w:hAnsi="Arial"/>
          <w:sz w:val="22"/>
          <w:szCs w:val="22"/>
        </w:rPr>
        <w:t xml:space="preserve">Rates shock (2022) — largest bond sell-off in 40 years</w:t>
      </w:r>
    </w:p>
    <w:p>
      <w:pPr>
        <w:pStyle w:val="ListParagraph"/>
        <w:numPr>
          <w:ilvl w:val="0"/>
          <w:numId w:val="2"/>
        </w:numPr>
        <w:spacing w:after="80"/>
      </w:pPr>
      <w:r>
        <w:rPr>
          <w:rFonts w:ascii="Arial" w:cs="Arial" w:eastAsia="Arial" w:hAnsi="Arial"/>
          <w:sz w:val="22"/>
          <w:szCs w:val="22"/>
        </w:rPr>
        <w:t xml:space="preserve">AI equity rally (2023-2024) — momentum and growth regime</w:t>
      </w:r>
    </w:p>
    <w:p>
      <w:pPr>
        <w:spacing w:after="120"/>
        <w:ind w:left="360"/>
      </w:pPr>
      <w:r>
        <w:rPr>
          <w:rFonts w:ascii="Arial" w:cs="Arial" w:eastAsia="Arial" w:hAnsi="Arial"/>
          <w:i/>
          <w:iCs/>
          <w:color w:val="555555"/>
          <w:sz w:val="20"/>
          <w:szCs w:val="20"/>
        </w:rPr>
        <w:t xml:space="preserve">Note: A strategy that only survives calm, trending markets is not robust. The 2020-2024 OOS period is intentionally difficult.</w:t>
      </w:r>
    </w:p>
    <w:p>
      <w:pPr>
        <w:spacing w:after="80"/>
      </w:pPr>
      <w:r>
        <w:t xml:space="preserve"/>
      </w:r>
    </w:p>
    <w:p>
      <w:pPr>
        <w:pStyle w:val="Heading2"/>
      </w:pPr>
      <w:r>
        <w:t xml:space="preserve">3.3 Rolling Fixed Window</w:t>
      </w:r>
    </w:p>
    <w:p>
      <w:pPr>
        <w:spacing w:after="120"/>
      </w:pPr>
      <w:r>
        <w:rPr>
          <w:rFonts w:ascii="Arial" w:cs="Arial" w:eastAsia="Arial" w:hAnsi="Arial"/>
          <w:sz w:val="22"/>
          <w:szCs w:val="22"/>
        </w:rPr>
        <w:t xml:space="preserve">Both the training and test windows slide forward with fixed lengths. Appropriate for mean-reversion signals with shorter memory, where old data may be less relevant.</w:t>
      </w:r>
    </w:p>
    <w:p>
      <w:pPr>
        <w:shd w:fill="EEF2F7" w:val="clear"/>
        <w:spacing w:after="80" w:before="80"/>
        <w:ind w:left="720"/>
      </w:pPr>
      <w:r>
        <w:rPr>
          <w:rFonts w:ascii="Courier New" w:cs="Courier New" w:eastAsia="Courier New" w:hAnsi="Courier New"/>
          <w:color w:val="1F3864"/>
          <w:sz w:val="22"/>
          <w:szCs w:val="22"/>
        </w:rPr>
        <w:t xml:space="preserve">  Train: [t - train_len, t]         (fixed length, slides)</w:t>
      </w:r>
    </w:p>
    <w:p>
      <w:pPr>
        <w:shd w:fill="EEF2F7" w:val="clear"/>
        <w:spacing w:after="80" w:before="80"/>
        <w:ind w:left="720"/>
      </w:pPr>
      <w:r>
        <w:rPr>
          <w:rFonts w:ascii="Courier New" w:cs="Courier New" w:eastAsia="Courier New" w:hAnsi="Courier New"/>
          <w:color w:val="1F3864"/>
          <w:sz w:val="22"/>
          <w:szCs w:val="22"/>
        </w:rPr>
        <w:t xml:space="preserve">  Test:  [t+1, t+test_len]           (fixed length, slides)</w:t>
      </w:r>
    </w:p>
    <w:p>
      <w:pPr>
        <w:spacing w:after="120"/>
      </w:pPr>
      <w:r>
        <w:rPr>
          <w:rFonts w:ascii="Arial" w:cs="Arial" w:eastAsia="Arial" w:hAnsi="Arial"/>
          <w:sz w:val="22"/>
          <w:szCs w:val="22"/>
        </w:rPr>
        <w:t xml:space="preserve">Used when: signal has short memory, regime changes are frequent, or there is reason to believe the signal's statistical properties change over time.</w:t>
      </w:r>
    </w:p>
    <w:p>
      <w:pPr>
        <w:spacing w:after="80"/>
      </w:pPr>
      <w:r>
        <w:t xml:space="preserve"/>
      </w:r>
    </w:p>
    <w:p>
      <w:pPr>
        <w:pStyle w:val="Heading1"/>
      </w:pPr>
      <w:r>
        <w:t xml:space="preserve">4. Combinatorial Purged Cross-Validation (CPCV)</w:t>
      </w:r>
    </w:p>
    <w:p>
      <w:pPr>
        <w:pStyle w:val="Heading2"/>
      </w:pPr>
      <w:r>
        <w:t xml:space="preserve">4.1 Motivation</w:t>
      </w:r>
    </w:p>
    <w:p>
      <w:pPr>
        <w:spacing w:after="120"/>
      </w:pPr>
      <w:r>
        <w:rPr>
          <w:rFonts w:ascii="Arial" w:cs="Arial" w:eastAsia="Arial" w:hAnsi="Arial"/>
          <w:sz w:val="22"/>
          <w:szCs w:val="22"/>
        </w:rPr>
        <w:t xml:space="preserve">Walk-forward produces a single OOS Sharpe number. CPCV produces a distribution of OOS Sharpe ratios, which answers the question: how sensitive is the OOS performance to which particular time periods are in-sample vs out-of-sample?</w:t>
      </w:r>
    </w:p>
    <w:p>
      <w:pPr>
        <w:spacing w:after="120"/>
      </w:pPr>
      <w:r>
        <w:rPr>
          <w:rFonts w:ascii="Arial" w:cs="Arial" w:eastAsia="Arial" w:hAnsi="Arial"/>
          <w:sz w:val="22"/>
          <w:szCs w:val="22"/>
        </w:rPr>
        <w:t xml:space="preserve">Reference: Lopez de Prado (2018), Advances in Financial Machine Learning, Chapter 12.</w:t>
      </w:r>
    </w:p>
    <w:p>
      <w:pPr>
        <w:spacing w:after="80"/>
      </w:pPr>
      <w:r>
        <w:t xml:space="preserve"/>
      </w:r>
    </w:p>
    <w:p>
      <w:pPr>
        <w:pStyle w:val="Heading2"/>
      </w:pPr>
      <w:r>
        <w:t xml:space="preserve">4.2 Algorithm</w:t>
      </w:r>
    </w:p>
    <w:p>
      <w:pPr>
        <w:spacing w:after="120"/>
      </w:pPr>
      <w:r>
        <w:rPr>
          <w:rFonts w:ascii="Arial" w:cs="Arial" w:eastAsia="Arial" w:hAnsi="Arial"/>
          <w:sz w:val="22"/>
          <w:szCs w:val="22"/>
        </w:rPr>
        <w:t xml:space="preserve">Step 1 — Partition the full time series into N groups of equal length (default N=10):</w:t>
      </w:r>
    </w:p>
    <w:p>
      <w:pPr>
        <w:shd w:fill="EEF2F7" w:val="clear"/>
        <w:spacing w:after="80" w:before="80"/>
        <w:ind w:left="720"/>
      </w:pPr>
      <w:r>
        <w:rPr>
          <w:rFonts w:ascii="Courier New" w:cs="Courier New" w:eastAsia="Courier New" w:hAnsi="Courier New"/>
          <w:color w:val="1F3864"/>
          <w:sz w:val="22"/>
          <w:szCs w:val="22"/>
        </w:rPr>
        <w:t xml:space="preserve">  groups = [G_1, G_2, ..., G_N]   each of length T/N</w:t>
      </w:r>
    </w:p>
    <w:p>
      <w:pPr>
        <w:spacing w:after="80"/>
      </w:pPr>
      <w:r>
        <w:t xml:space="preserve"/>
      </w:r>
    </w:p>
    <w:p>
      <w:pPr>
        <w:spacing w:after="120"/>
      </w:pPr>
      <w:r>
        <w:rPr>
          <w:rFonts w:ascii="Arial" w:cs="Arial" w:eastAsia="Arial" w:hAnsi="Arial"/>
          <w:sz w:val="22"/>
          <w:szCs w:val="22"/>
        </w:rPr>
        <w:t xml:space="preserve">Step 2 — For each combination of k groups as the test set (k=2 default):</w:t>
      </w:r>
    </w:p>
    <w:p>
      <w:pPr>
        <w:shd w:fill="EEF2F7" w:val="clear"/>
        <w:spacing w:after="80" w:before="80"/>
        <w:ind w:left="720"/>
      </w:pPr>
      <w:r>
        <w:rPr>
          <w:rFonts w:ascii="Courier New" w:cs="Courier New" w:eastAsia="Courier New" w:hAnsi="Courier New"/>
          <w:color w:val="1F3864"/>
          <w:sz w:val="22"/>
          <w:szCs w:val="22"/>
        </w:rPr>
        <w:t xml:space="preserve">  n_combinations = C(N, k) = N! / (k! * (N-k)!)</w:t>
      </w:r>
    </w:p>
    <w:p>
      <w:pPr>
        <w:shd w:fill="EEF2F7" w:val="clear"/>
        <w:spacing w:after="80" w:before="80"/>
        <w:ind w:left="720"/>
      </w:pPr>
      <w:r>
        <w:rPr>
          <w:rFonts w:ascii="Courier New" w:cs="Courier New" w:eastAsia="Courier New" w:hAnsi="Courier New"/>
          <w:color w:val="1F3864"/>
          <w:sz w:val="22"/>
          <w:szCs w:val="22"/>
        </w:rPr>
        <w:t xml:space="preserve">  For N=10, k=2: C(10,2) = 45 combinations</w:t>
      </w:r>
    </w:p>
    <w:p>
      <w:pPr>
        <w:spacing w:after="80"/>
      </w:pPr>
      <w:r>
        <w:t xml:space="preserve"/>
      </w:r>
    </w:p>
    <w:p>
      <w:pPr>
        <w:spacing w:after="120"/>
      </w:pPr>
      <w:r>
        <w:rPr>
          <w:rFonts w:ascii="Arial" w:cs="Arial" w:eastAsia="Arial" w:hAnsi="Arial"/>
          <w:sz w:val="22"/>
          <w:szCs w:val="22"/>
        </w:rPr>
        <w:t xml:space="preserve">Step 3 — For each combination:</w:t>
      </w:r>
    </w:p>
    <w:p>
      <w:pPr>
        <w:pStyle w:val="ListParagraph"/>
        <w:numPr>
          <w:ilvl w:val="0"/>
          <w:numId w:val="2"/>
        </w:numPr>
        <w:spacing w:after="80"/>
      </w:pPr>
      <w:r>
        <w:rPr>
          <w:rFonts w:ascii="Arial" w:cs="Arial" w:eastAsia="Arial" w:hAnsi="Arial"/>
          <w:sz w:val="22"/>
          <w:szCs w:val="22"/>
        </w:rPr>
        <w:t xml:space="preserve">Train on the N-k remaining groups</w:t>
      </w:r>
    </w:p>
    <w:p>
      <w:pPr>
        <w:pStyle w:val="ListParagraph"/>
        <w:numPr>
          <w:ilvl w:val="0"/>
          <w:numId w:val="2"/>
        </w:numPr>
        <w:spacing w:after="80"/>
      </w:pPr>
      <w:r>
        <w:rPr>
          <w:rFonts w:ascii="Arial" w:cs="Arial" w:eastAsia="Arial" w:hAnsi="Arial"/>
          <w:sz w:val="22"/>
          <w:szCs w:val="22"/>
        </w:rPr>
        <w:t xml:space="preserve">Evaluate on the k test groups</w:t>
      </w:r>
    </w:p>
    <w:p>
      <w:pPr>
        <w:pStyle w:val="ListParagraph"/>
        <w:numPr>
          <w:ilvl w:val="0"/>
          <w:numId w:val="2"/>
        </w:numPr>
        <w:spacing w:after="80"/>
      </w:pPr>
      <w:r>
        <w:rPr>
          <w:rFonts w:ascii="Arial" w:cs="Arial" w:eastAsia="Arial" w:hAnsi="Arial"/>
          <w:sz w:val="22"/>
          <w:szCs w:val="22"/>
        </w:rPr>
        <w:t xml:space="preserve">Record OOS Sharpe for this combination</w:t>
      </w:r>
    </w:p>
    <w:p>
      <w:pPr>
        <w:spacing w:after="80"/>
      </w:pPr>
      <w:r>
        <w:t xml:space="preserve"/>
      </w:r>
    </w:p>
    <w:p>
      <w:pPr>
        <w:spacing w:after="120"/>
      </w:pPr>
      <w:r>
        <w:rPr>
          <w:rFonts w:ascii="Arial" w:cs="Arial" w:eastAsia="Arial" w:hAnsi="Arial"/>
          <w:sz w:val="22"/>
          <w:szCs w:val="22"/>
        </w:rPr>
        <w:t xml:space="preserve">Step 4 — Aggregate the 45 OOS Sharpe estimates into a distribution:</w:t>
      </w:r>
    </w:p>
    <w:p>
      <w:pPr>
        <w:shd w:fill="EEF2F7" w:val="clear"/>
        <w:spacing w:after="80" w:before="80"/>
        <w:ind w:left="720"/>
      </w:pPr>
      <w:r>
        <w:rPr>
          <w:rFonts w:ascii="Courier New" w:cs="Courier New" w:eastAsia="Courier New" w:hAnsi="Courier New"/>
          <w:color w:val="1F3864"/>
          <w:sz w:val="22"/>
          <w:szCs w:val="22"/>
        </w:rPr>
        <w:t xml:space="preserve">  OOS_Sharpe_distribution = [SR_1, SR_2, ..., SR_45]</w:t>
      </w:r>
    </w:p>
    <w:p>
      <w:pPr>
        <w:shd w:fill="EEF2F7" w:val="clear"/>
        <w:spacing w:after="80" w:before="80"/>
        <w:ind w:left="720"/>
      </w:pPr>
      <w:r>
        <w:rPr>
          <w:rFonts w:ascii="Courier New" w:cs="Courier New" w:eastAsia="Courier New" w:hAnsi="Courier New"/>
          <w:color w:val="1F3864"/>
          <w:sz w:val="22"/>
          <w:szCs w:val="22"/>
        </w:rPr>
        <w:t xml:space="preserve">  PBO = fraction of combinations where SR_OOS &lt; median(SR_IS)</w:t>
      </w:r>
    </w:p>
    <w:p>
      <w:pPr>
        <w:spacing w:after="80"/>
      </w:pPr>
      <w:r>
        <w:t xml:space="preserve"/>
      </w:r>
    </w:p>
    <w:p>
      <w:pPr>
        <w:pStyle w:val="Heading2"/>
      </w:pPr>
      <w:r>
        <w:t xml:space="preserve">4.3 Purging</w:t>
      </w:r>
    </w:p>
    <w:p>
      <w:pPr>
        <w:spacing w:after="120"/>
      </w:pPr>
      <w:r>
        <w:rPr>
          <w:rFonts w:ascii="Arial" w:cs="Arial" w:eastAsia="Arial" w:hAnsi="Arial"/>
          <w:sz w:val="22"/>
          <w:szCs w:val="22"/>
        </w:rPr>
        <w:t xml:space="preserve">Financial time series have serial correlation — adjacent observations are not independent. If train and test sets contain adjacent observations, the model can implicitly use future information through this correlation. Purging removes observations near the train/test boundary:</w:t>
      </w:r>
    </w:p>
    <w:p>
      <w:pPr>
        <w:shd w:fill="EEF2F7" w:val="clear"/>
        <w:spacing w:after="80" w:before="80"/>
        <w:ind w:left="720"/>
      </w:pPr>
      <w:r>
        <w:rPr>
          <w:rFonts w:ascii="Courier New" w:cs="Courier New" w:eastAsia="Courier New" w:hAnsi="Courier New"/>
          <w:color w:val="1F3864"/>
          <w:sz w:val="22"/>
          <w:szCs w:val="22"/>
        </w:rPr>
        <w:t xml:space="preserve">  purge_window = embargo_periods   (default: 5 trading days)</w:t>
      </w:r>
    </w:p>
    <w:p>
      <w:pPr>
        <w:spacing w:after="120"/>
      </w:pPr>
      <w:r>
        <w:rPr>
          <w:rFonts w:ascii="Arial" w:cs="Arial" w:eastAsia="Arial" w:hAnsi="Arial"/>
          <w:sz w:val="22"/>
          <w:szCs w:val="22"/>
        </w:rPr>
        <w:t xml:space="preserve">All observations within purge_window of a train/test boundary are removed from training. This ensures the model cannot 'see' into the test period through short-term correlations.</w:t>
      </w:r>
    </w:p>
    <w:p>
      <w:pPr>
        <w:spacing w:after="80"/>
      </w:pPr>
      <w:r>
        <w:t xml:space="preserve"/>
      </w:r>
    </w:p>
    <w:p>
      <w:pPr>
        <w:pStyle w:val="Heading2"/>
      </w:pPr>
      <w:r>
        <w:t xml:space="preserve">4.4 Interpreting CPCV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02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 OOS Sharpe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estimate of out-of-sample performance</w:t>
            </w:r>
          </w:p>
        </w:tc>
      </w:tr>
      <w:tr>
        <w:tc>
          <w:tcPr>
            <w:tcW w:type="dxa" w:w="234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5th-95th percentile</w:t>
            </w:r>
          </w:p>
        </w:tc>
        <w:tc>
          <w:tcPr>
            <w:tcW w:type="dxa" w:w="702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Range of likely OOS outcomes — narrower is better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Fraction of combinations where best IS underperforms OOS median. PBO &lt; 0.5 required</w:t>
            </w:r>
          </w:p>
        </w:tc>
      </w:tr>
      <w:tr>
        <w:tc>
          <w:tcPr>
            <w:tcW w:type="dxa" w:w="234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 OOS SR &gt; 0</w:t>
            </w:r>
          </w:p>
        </w:tc>
        <w:tc>
          <w:tcPr>
            <w:tcW w:type="dxa" w:w="702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Fraction of combinations with positive Sharpe — robustness check</w:t>
            </w:r>
          </w:p>
        </w:tc>
      </w:tr>
    </w:tbl>
    <w:p>
      <w:pPr>
        <w:spacing w:after="80"/>
      </w:pPr>
      <w:r>
        <w:t xml:space="preserve"/>
      </w:r>
    </w:p>
    <w:p>
      <w:pPr>
        <w:spacing w:after="120"/>
        <w:ind w:left="360"/>
      </w:pPr>
      <w:r>
        <w:rPr>
          <w:rFonts w:ascii="Arial" w:cs="Arial" w:eastAsia="Arial" w:hAnsi="Arial"/>
          <w:i/>
          <w:iCs/>
          <w:color w:val="555555"/>
          <w:sz w:val="20"/>
          <w:szCs w:val="20"/>
        </w:rPr>
        <w:t xml:space="preserve">Note: CPCV is computationally expensive. For N=10, k=2: 45 full backtests. Benchmark runtime before running on full universe. If &gt;1 hour, reduce N or run overnight.</w:t>
      </w:r>
    </w:p>
    <w:p>
      <w:pPr>
        <w:spacing w:after="80"/>
      </w:pPr>
      <w:r>
        <w:t xml:space="preserve"/>
      </w:r>
    </w:p>
    <w:p>
      <w:pPr>
        <w:pStyle w:val="Heading1"/>
      </w:pPr>
      <w:r>
        <w:t xml:space="preserve">5. Performance Metrics</w:t>
      </w:r>
    </w:p>
    <w:p>
      <w:pPr>
        <w:pStyle w:val="Heading2"/>
      </w:pPr>
      <w:r>
        <w:t xml:space="preserve">5.1 Return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Formula / 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Annualised Return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mean(daily_log_ret) * 252  [log return convention]</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Annualised Vol</w:t>
            </w:r>
          </w:p>
        </w:tc>
        <w:tc>
          <w:tcPr>
            <w:tcW w:type="dxa" w:w="65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std(daily_log_ret) * sqrt(252)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Sharpe Ratio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(annualised_return - rf) / annualised_vol  [rf = 0 for simplicity]</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Sortino Ratio</w:t>
            </w:r>
          </w:p>
        </w:tc>
        <w:tc>
          <w:tcPr>
            <w:tcW w:type="dxa" w:w="65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annualised_return / downside_vol  [downside_vol uses negative returns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Calmar Ratio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annualised_return / max_drawdown</w:t>
            </w:r>
          </w:p>
        </w:tc>
      </w:tr>
    </w:tbl>
    <w:p>
      <w:pPr>
        <w:spacing w:after="80"/>
      </w:pPr>
      <w:r>
        <w:t xml:space="preserve"/>
      </w:r>
    </w:p>
    <w:p>
      <w:pPr>
        <w:pStyle w:val="Heading2"/>
      </w:pPr>
      <w:r>
        <w:t xml:space="preserve">5.2 Drawdown Metrics</w:t>
      </w:r>
    </w:p>
    <w:p>
      <w:pPr>
        <w:spacing w:after="120"/>
      </w:pPr>
      <w:r>
        <w:rPr>
          <w:rFonts w:ascii="Arial" w:cs="Arial" w:eastAsia="Arial" w:hAnsi="Arial"/>
          <w:sz w:val="22"/>
          <w:szCs w:val="22"/>
        </w:rPr>
        <w:t xml:space="preserve">Maximum drawdown measures the largest peak-to-trough decline in cumulative returns:</w:t>
      </w:r>
    </w:p>
    <w:p>
      <w:pPr>
        <w:shd w:fill="EEF2F7" w:val="clear"/>
        <w:spacing w:after="80" w:before="80"/>
        <w:ind w:left="720"/>
      </w:pPr>
      <w:r>
        <w:rPr>
          <w:rFonts w:ascii="Courier New" w:cs="Courier New" w:eastAsia="Courier New" w:hAnsi="Courier New"/>
          <w:color w:val="1F3864"/>
          <w:sz w:val="22"/>
          <w:szCs w:val="22"/>
        </w:rPr>
        <w:t xml:space="preserve">  cum_ret(t) = cumsum(daily_log_ret)</w:t>
      </w:r>
    </w:p>
    <w:p>
      <w:pPr>
        <w:shd w:fill="EEF2F7" w:val="clear"/>
        <w:spacing w:after="80" w:before="80"/>
        <w:ind w:left="720"/>
      </w:pPr>
      <w:r>
        <w:rPr>
          <w:rFonts w:ascii="Courier New" w:cs="Courier New" w:eastAsia="Courier New" w:hAnsi="Courier New"/>
          <w:color w:val="1F3864"/>
          <w:sz w:val="22"/>
          <w:szCs w:val="22"/>
        </w:rPr>
        <w:t xml:space="preserve">  running_max(t) = max(cum_ret(s), s &lt;= t)</w:t>
      </w:r>
    </w:p>
    <w:p>
      <w:pPr>
        <w:shd w:fill="EEF2F7" w:val="clear"/>
        <w:spacing w:after="80" w:before="80"/>
        <w:ind w:left="720"/>
      </w:pPr>
      <w:r>
        <w:rPr>
          <w:rFonts w:ascii="Courier New" w:cs="Courier New" w:eastAsia="Courier New" w:hAnsi="Courier New"/>
          <w:color w:val="1F3864"/>
          <w:sz w:val="22"/>
          <w:szCs w:val="22"/>
        </w:rPr>
        <w:t xml:space="preserve">  drawdown(t) = cum_ret(t) - running_max(t)</w:t>
      </w:r>
    </w:p>
    <w:p>
      <w:pPr>
        <w:shd w:fill="EEF2F7" w:val="clear"/>
        <w:spacing w:after="80" w:before="80"/>
        <w:ind w:left="720"/>
      </w:pPr>
      <w:r>
        <w:rPr>
          <w:rFonts w:ascii="Courier New" w:cs="Courier New" w:eastAsia="Courier New" w:hAnsi="Courier New"/>
          <w:color w:val="1F3864"/>
          <w:sz w:val="22"/>
          <w:szCs w:val="22"/>
        </w:rPr>
        <w:t xml:space="preserve">  max_drawdown = min(drawdown(t), t = 1..T)</w:t>
      </w:r>
    </w:p>
    <w:p>
      <w:pPr>
        <w:spacing w:after="80"/>
      </w:pPr>
      <w:r>
        <w:t xml:space="preserve"/>
      </w:r>
    </w:p>
    <w:p>
      <w:pPr>
        <w:spacing w:after="120"/>
      </w:pPr>
      <w:r>
        <w:rPr>
          <w:rFonts w:ascii="Arial" w:cs="Arial" w:eastAsia="Arial" w:hAnsi="Arial"/>
          <w:sz w:val="22"/>
          <w:szCs w:val="22"/>
        </w:rPr>
        <w:t xml:space="preserve">Maximum drawdown duration is the longest time (in days) the portfolio spent below its previous peak:</w:t>
      </w:r>
    </w:p>
    <w:p>
      <w:pPr>
        <w:shd w:fill="EEF2F7" w:val="clear"/>
        <w:spacing w:after="80" w:before="80"/>
        <w:ind w:left="720"/>
      </w:pPr>
      <w:r>
        <w:rPr>
          <w:rFonts w:ascii="Courier New" w:cs="Courier New" w:eastAsia="Courier New" w:hAnsi="Courier New"/>
          <w:color w:val="1F3864"/>
          <w:sz w:val="22"/>
          <w:szCs w:val="22"/>
        </w:rPr>
        <w:t xml:space="preserve">  drawdown_duration(t) = number of consecutive days with drawdown(t) &lt; 0</w:t>
      </w:r>
    </w:p>
    <w:p>
      <w:pPr>
        <w:shd w:fill="EEF2F7" w:val="clear"/>
        <w:spacing w:after="80" w:before="80"/>
        <w:ind w:left="720"/>
      </w:pPr>
      <w:r>
        <w:rPr>
          <w:rFonts w:ascii="Courier New" w:cs="Courier New" w:eastAsia="Courier New" w:hAnsi="Courier New"/>
          <w:color w:val="1F3864"/>
          <w:sz w:val="22"/>
          <w:szCs w:val="22"/>
        </w:rPr>
        <w:t xml:space="preserve">  max_drawdown_duration = max(drawdown_duration(t))</w:t>
      </w:r>
    </w:p>
    <w:p>
      <w:pPr>
        <w:spacing w:after="80"/>
      </w:pPr>
      <w:r>
        <w:t xml:space="preserve"/>
      </w:r>
    </w:p>
    <w:p>
      <w:pPr>
        <w:pStyle w:val="Heading2"/>
      </w:pPr>
      <w:r>
        <w:t xml:space="preserve">5.3 Overfitting Corrections on Backtest Results</w:t>
      </w:r>
    </w:p>
    <w:p>
      <w:pPr>
        <w:spacing w:after="120"/>
      </w:pPr>
      <w:r>
        <w:rPr>
          <w:rFonts w:ascii="Arial" w:cs="Arial" w:eastAsia="Arial" w:hAnsi="Arial"/>
          <w:sz w:val="22"/>
          <w:szCs w:val="22"/>
        </w:rPr>
        <w:t xml:space="preserve">The same three corrections applied to individual signals (Phase 2) are applied to the full backtest result:</w:t>
      </w:r>
    </w:p>
    <w:p>
      <w:pPr>
        <w:pStyle w:val="ListParagraph"/>
        <w:numPr>
          <w:ilvl w:val="0"/>
          <w:numId w:val="2"/>
        </w:numPr>
        <w:spacing w:after="80"/>
      </w:pPr>
      <w:r>
        <w:rPr>
          <w:rFonts w:ascii="Arial" w:cs="Arial" w:eastAsia="Arial" w:hAnsi="Arial"/>
          <w:sz w:val="22"/>
          <w:szCs w:val="22"/>
        </w:rPr>
        <w:t xml:space="preserve">DSR — Deflated Sharpe Ratio, adjusted for number of backtests run and return non-normality</w:t>
      </w:r>
    </w:p>
    <w:p>
      <w:pPr>
        <w:pStyle w:val="ListParagraph"/>
        <w:numPr>
          <w:ilvl w:val="0"/>
          <w:numId w:val="2"/>
        </w:numPr>
        <w:spacing w:after="80"/>
      </w:pPr>
      <w:r>
        <w:rPr>
          <w:rFonts w:ascii="Arial" w:cs="Arial" w:eastAsia="Arial" w:hAnsi="Arial"/>
          <w:sz w:val="22"/>
          <w:szCs w:val="22"/>
        </w:rPr>
        <w:t xml:space="preserve">PBO — from CPCV, probability that best in-sample config underperforms OOS</w:t>
      </w:r>
    </w:p>
    <w:p>
      <w:pPr>
        <w:pStyle w:val="ListParagraph"/>
        <w:numPr>
          <w:ilvl w:val="0"/>
          <w:numId w:val="2"/>
        </w:numPr>
        <w:spacing w:after="80"/>
      </w:pPr>
      <w:r>
        <w:rPr>
          <w:rFonts w:ascii="Arial" w:cs="Arial" w:eastAsia="Arial" w:hAnsi="Arial"/>
          <w:sz w:val="22"/>
          <w:szCs w:val="22"/>
        </w:rPr>
        <w:t xml:space="preserve">SPA — Hansen's test that the portfolio genuinely outperforms a passive benchmark</w:t>
      </w:r>
    </w:p>
    <w:p>
      <w:pPr>
        <w:spacing w:after="120"/>
      </w:pPr>
      <w:r>
        <w:rPr>
          <w:rFonts w:ascii="Arial" w:cs="Arial" w:eastAsia="Arial" w:hAnsi="Arial"/>
          <w:sz w:val="22"/>
          <w:szCs w:val="22"/>
        </w:rPr>
        <w:t xml:space="preserve">Acceptance criteria for proceeding to paper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68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OOS Sharpe (net)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viable risk-adjusted return net of costs</w:t>
            </w:r>
          </w:p>
        </w:tc>
      </w:tr>
      <w:tr>
        <w:tc>
          <w:tcPr>
            <w:tcW w:type="dxa" w:w="234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DSR</w:t>
            </w:r>
          </w:p>
        </w:tc>
        <w:tc>
          <w:tcPr>
            <w:tcW w:type="dxa" w:w="234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&gt; 0</w:t>
            </w:r>
          </w:p>
        </w:tc>
        <w:tc>
          <w:tcPr>
            <w:tcW w:type="dxa" w:w="46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Strategy outperforms expected max SR under null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CPCV PBO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config wins OOS more than half the time</w:t>
            </w:r>
          </w:p>
        </w:tc>
      </w:tr>
      <w:tr>
        <w:tc>
          <w:tcPr>
            <w:tcW w:type="dxa" w:w="234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Max Drawdown</w:t>
            </w:r>
          </w:p>
        </w:tc>
        <w:tc>
          <w:tcPr>
            <w:tcW w:type="dxa" w:w="234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&lt; 25%</w:t>
            </w:r>
          </w:p>
        </w:tc>
        <w:tc>
          <w:tcPr>
            <w:tcW w:type="dxa" w:w="46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Tolerable drawdown for paper trading phase</w:t>
            </w:r>
          </w:p>
        </w:tc>
      </w:tr>
    </w:tbl>
    <w:p>
      <w:pPr>
        <w:spacing w:after="80"/>
      </w:pPr>
      <w:r>
        <w:t xml:space="preserve"/>
      </w:r>
    </w:p>
    <w:p>
      <w:pPr>
        <w:pStyle w:val="Heading2"/>
      </w:pPr>
      <w:r>
        <w:t xml:space="preserve">5.4 Trade-Level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Fraction of trades with positive P&amp;L</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Avg Trade Return</w:t>
            </w:r>
          </w:p>
        </w:tc>
        <w:tc>
          <w:tcPr>
            <w:tcW w:type="dxa" w:w="65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Mean P&amp;L per trade (gross and net of costs)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Turnover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sum(|trades|) / portfolio_value, annualised</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Total Cost (bps/yr)</w:t>
            </w:r>
          </w:p>
        </w:tc>
        <w:tc>
          <w:tcPr>
            <w:tcW w:type="dxa" w:w="65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Annual cost drag in basis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Cost Per Trade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transaction cost per rebalance in bps</w:t>
            </w:r>
          </w:p>
        </w:tc>
      </w:tr>
    </w:tbl>
    <w:p>
      <w:pPr>
        <w:spacing w:after="80"/>
      </w:pPr>
      <w:r>
        <w:t xml:space="preserve"/>
      </w:r>
    </w:p>
    <w:p>
      <w:pPr>
        <w:pStyle w:val="Heading1"/>
      </w:pPr>
      <w:r>
        <w:t xml:space="preserve">6. Tearsheet</w:t>
      </w:r>
    </w:p>
    <w:p>
      <w:pPr>
        <w:spacing w:after="120"/>
      </w:pPr>
      <w:r>
        <w:rPr>
          <w:rFonts w:ascii="Arial" w:cs="Arial" w:eastAsia="Arial" w:hAnsi="Arial"/>
          <w:sz w:val="22"/>
          <w:szCs w:val="22"/>
        </w:rPr>
        <w:t xml:space="preserve">The ResultEvaluator generates a standard performance tearsheet saved to reports/. Components:</w:t>
      </w:r>
    </w:p>
    <w:p>
      <w:pPr>
        <w:pStyle w:val="ListParagraph"/>
        <w:numPr>
          <w:ilvl w:val="0"/>
          <w:numId w:val="2"/>
        </w:numPr>
        <w:spacing w:after="80"/>
      </w:pPr>
      <w:r>
        <w:rPr>
          <w:rFonts w:ascii="Arial" w:cs="Arial" w:eastAsia="Arial" w:hAnsi="Arial"/>
          <w:sz w:val="22"/>
          <w:szCs w:val="22"/>
        </w:rPr>
        <w:t xml:space="preserve">Cumulative return chart — gross and net, with OOS period shaded differently</w:t>
      </w:r>
    </w:p>
    <w:p>
      <w:pPr>
        <w:pStyle w:val="ListParagraph"/>
        <w:numPr>
          <w:ilvl w:val="0"/>
          <w:numId w:val="2"/>
        </w:numPr>
        <w:spacing w:after="80"/>
      </w:pPr>
      <w:r>
        <w:rPr>
          <w:rFonts w:ascii="Arial" w:cs="Arial" w:eastAsia="Arial" w:hAnsi="Arial"/>
          <w:sz w:val="22"/>
          <w:szCs w:val="22"/>
        </w:rPr>
        <w:t xml:space="preserve">Rolling 252-day Sharpe ratio — shows regime changes over time</w:t>
      </w:r>
    </w:p>
    <w:p>
      <w:pPr>
        <w:pStyle w:val="ListParagraph"/>
        <w:numPr>
          <w:ilvl w:val="0"/>
          <w:numId w:val="2"/>
        </w:numPr>
        <w:spacing w:after="80"/>
      </w:pPr>
      <w:r>
        <w:rPr>
          <w:rFonts w:ascii="Arial" w:cs="Arial" w:eastAsia="Arial" w:hAnsi="Arial"/>
          <w:sz w:val="22"/>
          <w:szCs w:val="22"/>
        </w:rPr>
        <w:t xml:space="preserve">Drawdown chart — all drawdowns with max drawdown highlighted</w:t>
      </w:r>
    </w:p>
    <w:p>
      <w:pPr>
        <w:pStyle w:val="ListParagraph"/>
        <w:numPr>
          <w:ilvl w:val="0"/>
          <w:numId w:val="2"/>
        </w:numPr>
        <w:spacing w:after="80"/>
      </w:pPr>
      <w:r>
        <w:rPr>
          <w:rFonts w:ascii="Arial" w:cs="Arial" w:eastAsia="Arial" w:hAnsi="Arial"/>
          <w:sz w:val="22"/>
          <w:szCs w:val="22"/>
        </w:rPr>
        <w:t xml:space="preserve">Monthly returns heatmap — returns by year and month</w:t>
      </w:r>
    </w:p>
    <w:p>
      <w:pPr>
        <w:pStyle w:val="ListParagraph"/>
        <w:numPr>
          <w:ilvl w:val="0"/>
          <w:numId w:val="2"/>
        </w:numPr>
        <w:spacing w:after="80"/>
      </w:pPr>
      <w:r>
        <w:rPr>
          <w:rFonts w:ascii="Arial" w:cs="Arial" w:eastAsia="Arial" w:hAnsi="Arial"/>
          <w:sz w:val="22"/>
          <w:szCs w:val="22"/>
        </w:rPr>
        <w:t xml:space="preserve">Return distribution histogram — with normal overlay to show non-normality</w:t>
      </w:r>
    </w:p>
    <w:p>
      <w:pPr>
        <w:pStyle w:val="ListParagraph"/>
        <w:numPr>
          <w:ilvl w:val="0"/>
          <w:numId w:val="2"/>
        </w:numPr>
        <w:spacing w:after="80"/>
      </w:pPr>
      <w:r>
        <w:rPr>
          <w:rFonts w:ascii="Arial" w:cs="Arial" w:eastAsia="Arial" w:hAnsi="Arial"/>
          <w:sz w:val="22"/>
          <w:szCs w:val="22"/>
        </w:rPr>
        <w:t xml:space="preserve">Trade statistics table — hit rate, avg return, turnover, cost drag</w:t>
      </w:r>
    </w:p>
    <w:p>
      <w:pPr>
        <w:pStyle w:val="ListParagraph"/>
        <w:numPr>
          <w:ilvl w:val="0"/>
          <w:numId w:val="2"/>
        </w:numPr>
        <w:spacing w:after="80"/>
      </w:pPr>
      <w:r>
        <w:rPr>
          <w:rFonts w:ascii="Arial" w:cs="Arial" w:eastAsia="Arial" w:hAnsi="Arial"/>
          <w:sz w:val="22"/>
          <w:szCs w:val="22"/>
        </w:rPr>
        <w:t xml:space="preserve">CPCV OOS Sharpe distribution — histogram of 45 OOS Sharpe estimates</w:t>
      </w:r>
    </w:p>
    <w:p>
      <w:pPr>
        <w:spacing w:after="80"/>
      </w:pPr>
      <w:r>
        <w:t xml:space="preserve"/>
      </w:r>
    </w:p>
    <w:p>
      <w:pPr>
        <w:spacing w:after="120"/>
      </w:pPr>
      <w:r>
        <w:rPr>
          <w:rFonts w:ascii="Arial" w:cs="Arial" w:eastAsia="Arial" w:hAnsi="Arial"/>
          <w:sz w:val="22"/>
          <w:szCs w:val="22"/>
        </w:rPr>
        <w:t xml:space="preserve">Tearsheets are generated using pyfolio-reloaded (maintained fork of Quantopian's pyfolio). All reports are saved to reports/ which is gitignored — not committed to the repo.</w:t>
      </w:r>
    </w:p>
    <w:p>
      <w:pPr>
        <w:spacing w:after="80"/>
      </w:pPr>
      <w:r>
        <w:t xml:space="preserve"/>
      </w:r>
    </w:p>
    <w:p>
      <w:pPr>
        <w:pStyle w:val="Heading1"/>
      </w:pPr>
      <w:r>
        <w:t xml:space="preserve">7. BacktestResult Dataclass</w:t>
      </w:r>
    </w:p>
    <w:p>
      <w:pPr>
        <w:spacing w:after="120"/>
      </w:pPr>
      <w:r>
        <w:rPr>
          <w:rFonts w:ascii="Arial" w:cs="Arial" w:eastAsia="Arial" w:hAnsi="Arial"/>
          <w:sz w:val="22"/>
          <w:szCs w:val="22"/>
        </w:rPr>
        <w:t xml:space="preserve">All backtest outputs are stored in a typed dataclass for reproducibility and downstream analysis:</w:t>
      </w:r>
    </w:p>
    <w:p>
      <w:pPr>
        <w:shd w:fill="EEF2F7" w:val="clear"/>
        <w:spacing w:after="80" w:before="80"/>
        <w:ind w:left="720"/>
      </w:pPr>
      <w:r>
        <w:rPr>
          <w:rFonts w:ascii="Courier New" w:cs="Courier New" w:eastAsia="Courier New" w:hAnsi="Courier New"/>
          <w:color w:val="1F3864"/>
          <w:sz w:val="22"/>
          <w:szCs w:val="22"/>
        </w:rPr>
        <w:t xml:space="preserve">  @dataclass</w:t>
      </w:r>
    </w:p>
    <w:p>
      <w:pPr>
        <w:shd w:fill="EEF2F7" w:val="clear"/>
        <w:spacing w:after="80" w:before="80"/>
        <w:ind w:left="720"/>
      </w:pPr>
      <w:r>
        <w:rPr>
          <w:rFonts w:ascii="Courier New" w:cs="Courier New" w:eastAsia="Courier New" w:hAnsi="Courier New"/>
          <w:color w:val="1F3864"/>
          <w:sz w:val="22"/>
          <w:szCs w:val="22"/>
        </w:rPr>
        <w:t xml:space="preserve">  class BacktestResult:</w:t>
      </w:r>
    </w:p>
    <w:p>
      <w:pPr>
        <w:shd w:fill="EEF2F7" w:val="clear"/>
        <w:spacing w:after="80" w:before="80"/>
        <w:ind w:left="720"/>
      </w:pPr>
      <w:r>
        <w:rPr>
          <w:rFonts w:ascii="Courier New" w:cs="Courier New" w:eastAsia="Courier New" w:hAnsi="Courier New"/>
          <w:color w:val="1F3864"/>
          <w:sz w:val="22"/>
          <w:szCs w:val="22"/>
        </w:rPr>
        <w:t xml:space="preserve">      gross_returns: pd.Series</w:t>
      </w:r>
    </w:p>
    <w:p>
      <w:pPr>
        <w:shd w:fill="EEF2F7" w:val="clear"/>
        <w:spacing w:after="80" w:before="80"/>
        <w:ind w:left="720"/>
      </w:pPr>
      <w:r>
        <w:rPr>
          <w:rFonts w:ascii="Courier New" w:cs="Courier New" w:eastAsia="Courier New" w:hAnsi="Courier New"/>
          <w:color w:val="1F3864"/>
          <w:sz w:val="22"/>
          <w:szCs w:val="22"/>
        </w:rPr>
        <w:t xml:space="preserve">      net_returns: pd.Series          # after all costs</w:t>
      </w:r>
    </w:p>
    <w:p>
      <w:pPr>
        <w:shd w:fill="EEF2F7" w:val="clear"/>
        <w:spacing w:after="80" w:before="80"/>
        <w:ind w:left="720"/>
      </w:pPr>
      <w:r>
        <w:rPr>
          <w:rFonts w:ascii="Courier New" w:cs="Courier New" w:eastAsia="Courier New" w:hAnsi="Courier New"/>
          <w:color w:val="1F3864"/>
          <w:sz w:val="22"/>
          <w:szCs w:val="22"/>
        </w:rPr>
        <w:t xml:space="preserve">      annualised_return: float</w:t>
      </w:r>
    </w:p>
    <w:p>
      <w:pPr>
        <w:shd w:fill="EEF2F7" w:val="clear"/>
        <w:spacing w:after="80" w:before="80"/>
        <w:ind w:left="720"/>
      </w:pPr>
      <w:r>
        <w:rPr>
          <w:rFonts w:ascii="Courier New" w:cs="Courier New" w:eastAsia="Courier New" w:hAnsi="Courier New"/>
          <w:color w:val="1F3864"/>
          <w:sz w:val="22"/>
          <w:szCs w:val="22"/>
        </w:rPr>
        <w:t xml:space="preserve">      annualised_vol: float</w:t>
      </w:r>
    </w:p>
    <w:p>
      <w:pPr>
        <w:shd w:fill="EEF2F7" w:val="clear"/>
        <w:spacing w:after="80" w:before="80"/>
        <w:ind w:left="720"/>
      </w:pPr>
      <w:r>
        <w:rPr>
          <w:rFonts w:ascii="Courier New" w:cs="Courier New" w:eastAsia="Courier New" w:hAnsi="Courier New"/>
          <w:color w:val="1F3864"/>
          <w:sz w:val="22"/>
          <w:szCs w:val="22"/>
        </w:rPr>
        <w:t xml:space="preserve">      sharpe_ratio: float</w:t>
      </w:r>
    </w:p>
    <w:p>
      <w:pPr>
        <w:shd w:fill="EEF2F7" w:val="clear"/>
        <w:spacing w:after="80" w:before="80"/>
        <w:ind w:left="720"/>
      </w:pPr>
      <w:r>
        <w:rPr>
          <w:rFonts w:ascii="Courier New" w:cs="Courier New" w:eastAsia="Courier New" w:hAnsi="Courier New"/>
          <w:color w:val="1F3864"/>
          <w:sz w:val="22"/>
          <w:szCs w:val="22"/>
        </w:rPr>
        <w:t xml:space="preserve">      dsr: float                      # Deflated Sharpe Ratio</w:t>
      </w:r>
    </w:p>
    <w:p>
      <w:pPr>
        <w:shd w:fill="EEF2F7" w:val="clear"/>
        <w:spacing w:after="80" w:before="80"/>
        <w:ind w:left="720"/>
      </w:pPr>
      <w:r>
        <w:rPr>
          <w:rFonts w:ascii="Courier New" w:cs="Courier New" w:eastAsia="Courier New" w:hAnsi="Courier New"/>
          <w:color w:val="1F3864"/>
          <w:sz w:val="22"/>
          <w:szCs w:val="22"/>
        </w:rPr>
        <w:t xml:space="preserve">      sortino_ratio: float</w:t>
      </w:r>
    </w:p>
    <w:p>
      <w:pPr>
        <w:shd w:fill="EEF2F7" w:val="clear"/>
        <w:spacing w:after="80" w:before="80"/>
        <w:ind w:left="720"/>
      </w:pPr>
      <w:r>
        <w:rPr>
          <w:rFonts w:ascii="Courier New" w:cs="Courier New" w:eastAsia="Courier New" w:hAnsi="Courier New"/>
          <w:color w:val="1F3864"/>
          <w:sz w:val="22"/>
          <w:szCs w:val="22"/>
        </w:rPr>
        <w:t xml:space="preserve">      max_drawdown: float</w:t>
      </w:r>
    </w:p>
    <w:p>
      <w:pPr>
        <w:shd w:fill="EEF2F7" w:val="clear"/>
        <w:spacing w:after="80" w:before="80"/>
        <w:ind w:left="720"/>
      </w:pPr>
      <w:r>
        <w:rPr>
          <w:rFonts w:ascii="Courier New" w:cs="Courier New" w:eastAsia="Courier New" w:hAnsi="Courier New"/>
          <w:color w:val="1F3864"/>
          <w:sz w:val="22"/>
          <w:szCs w:val="22"/>
        </w:rPr>
        <w:t xml:space="preserve">      max_drawdown_duration: int      # trading days</w:t>
      </w:r>
    </w:p>
    <w:p>
      <w:pPr>
        <w:shd w:fill="EEF2F7" w:val="clear"/>
        <w:spacing w:after="80" w:before="80"/>
        <w:ind w:left="720"/>
      </w:pPr>
      <w:r>
        <w:rPr>
          <w:rFonts w:ascii="Courier New" w:cs="Courier New" w:eastAsia="Courier New" w:hAnsi="Courier New"/>
          <w:color w:val="1F3864"/>
          <w:sz w:val="22"/>
          <w:szCs w:val="22"/>
        </w:rPr>
        <w:t xml:space="preserve">      calmar_ratio: float</w:t>
      </w:r>
    </w:p>
    <w:p>
      <w:pPr>
        <w:shd w:fill="EEF2F7" w:val="clear"/>
        <w:spacing w:after="80" w:before="80"/>
        <w:ind w:left="720"/>
      </w:pPr>
      <w:r>
        <w:rPr>
          <w:rFonts w:ascii="Courier New" w:cs="Courier New" w:eastAsia="Courier New" w:hAnsi="Courier New"/>
          <w:color w:val="1F3864"/>
          <w:sz w:val="22"/>
          <w:szCs w:val="22"/>
        </w:rPr>
        <w:t xml:space="preserve">      hit_rate: float</w:t>
      </w:r>
    </w:p>
    <w:p>
      <w:pPr>
        <w:shd w:fill="EEF2F7" w:val="clear"/>
        <w:spacing w:after="80" w:before="80"/>
        <w:ind w:left="720"/>
      </w:pPr>
      <w:r>
        <w:rPr>
          <w:rFonts w:ascii="Courier New" w:cs="Courier New" w:eastAsia="Courier New" w:hAnsi="Courier New"/>
          <w:color w:val="1F3864"/>
          <w:sz w:val="22"/>
          <w:szCs w:val="22"/>
        </w:rPr>
        <w:t xml:space="preserve">      avg_trade_return: float</w:t>
      </w:r>
    </w:p>
    <w:p>
      <w:pPr>
        <w:shd w:fill="EEF2F7" w:val="clear"/>
        <w:spacing w:after="80" w:before="80"/>
        <w:ind w:left="720"/>
      </w:pPr>
      <w:r>
        <w:rPr>
          <w:rFonts w:ascii="Courier New" w:cs="Courier New" w:eastAsia="Courier New" w:hAnsi="Courier New"/>
          <w:color w:val="1F3864"/>
          <w:sz w:val="22"/>
          <w:szCs w:val="22"/>
        </w:rPr>
        <w:t xml:space="preserve">      total_cost_bps: float</w:t>
      </w:r>
    </w:p>
    <w:p>
      <w:pPr>
        <w:shd w:fill="EEF2F7" w:val="clear"/>
        <w:spacing w:after="80" w:before="80"/>
        <w:ind w:left="720"/>
      </w:pPr>
      <w:r>
        <w:rPr>
          <w:rFonts w:ascii="Courier New" w:cs="Courier New" w:eastAsia="Courier New" w:hAnsi="Courier New"/>
          <w:color w:val="1F3864"/>
          <w:sz w:val="22"/>
          <w:szCs w:val="22"/>
        </w:rPr>
        <w:t xml:space="preserve">      avg_cost_per_trade_bps: float</w:t>
      </w:r>
    </w:p>
    <w:p>
      <w:pPr>
        <w:shd w:fill="EEF2F7" w:val="clear"/>
        <w:spacing w:after="80" w:before="80"/>
        <w:ind w:left="720"/>
      </w:pPr>
      <w:r>
        <w:rPr>
          <w:rFonts w:ascii="Courier New" w:cs="Courier New" w:eastAsia="Courier New" w:hAnsi="Courier New"/>
          <w:color w:val="1F3864"/>
          <w:sz w:val="22"/>
          <w:szCs w:val="22"/>
        </w:rPr>
        <w:t xml:space="preserve">      turnover_annual: float</w:t>
      </w:r>
    </w:p>
    <w:p>
      <w:pPr>
        <w:shd w:fill="EEF2F7" w:val="clear"/>
        <w:spacing w:after="80" w:before="80"/>
        <w:ind w:left="720"/>
      </w:pPr>
      <w:r>
        <w:rPr>
          <w:rFonts w:ascii="Courier New" w:cs="Courier New" w:eastAsia="Courier New" w:hAnsi="Courier New"/>
          <w:color w:val="1F3864"/>
          <w:sz w:val="22"/>
          <w:szCs w:val="22"/>
        </w:rPr>
        <w:t xml:space="preserve">      pbo: float                      # from CPCV</w:t>
      </w:r>
    </w:p>
    <w:p>
      <w:pPr>
        <w:shd w:fill="EEF2F7" w:val="clear"/>
        <w:spacing w:after="80" w:before="80"/>
        <w:ind w:left="720"/>
      </w:pPr>
      <w:r>
        <w:rPr>
          <w:rFonts w:ascii="Courier New" w:cs="Courier New" w:eastAsia="Courier New" w:hAnsi="Courier New"/>
          <w:color w:val="1F3864"/>
          <w:sz w:val="22"/>
          <w:szCs w:val="22"/>
        </w:rPr>
        <w:t xml:space="preserve">      spa_p_value: float</w:t>
      </w:r>
    </w:p>
    <w:p>
      <w:pPr>
        <w:shd w:fill="EEF2F7" w:val="clear"/>
        <w:spacing w:after="80" w:before="80"/>
        <w:ind w:left="720"/>
      </w:pPr>
      <w:r>
        <w:rPr>
          <w:rFonts w:ascii="Courier New" w:cs="Courier New" w:eastAsia="Courier New" w:hAnsi="Courier New"/>
          <w:color w:val="1F3864"/>
          <w:sz w:val="22"/>
          <w:szCs w:val="22"/>
        </w:rPr>
        <w:t xml:space="preserve">      trades: pd.DataFrame            # full trade log</w:t>
      </w:r>
    </w:p>
    <w:p>
      <w:pPr>
        <w:spacing w:after="80"/>
      </w:pPr>
      <w:r>
        <w:t xml:space="preserve"/>
      </w:r>
    </w:p>
    <w:p>
      <w:pPr>
        <w:pStyle w:val="Heading1"/>
      </w:pPr>
      <w:r>
        <w:t xml:space="preserve">8. Phase 1 Validation Results</w:t>
      </w:r>
    </w:p>
    <w:p>
      <w:pPr>
        <w:spacing w:after="120"/>
      </w:pPr>
      <w:r>
        <w:rPr>
          <w:rFonts w:ascii="Arial" w:cs="Arial" w:eastAsia="Arial" w:hAnsi="Arial"/>
          <w:sz w:val="22"/>
          <w:szCs w:val="22"/>
        </w:rPr>
        <w:t xml:space="preserve">End-to-end backtest on Rates Trend signal (TLT, 2010-2024). Anchored walk-forward with 2010-2019 training, 2020-2024 OOS.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In-Sample (2010-2019)</w:t>
            </w:r>
          </w:p>
        </w:tc>
        <w:tc>
          <w:tcPr>
            <w:tcW w:type="dxa" w:w="3120"/>
            <w:tcBorders>
              <w:top w:val="single" w:color="6B1A1A" w:sz="1"/>
              <w:left w:val="single" w:color="6B1A1A" w:sz="1"/>
              <w:bottom w:val="single" w:color="6B1A1A" w:sz="1"/>
              <w:right w:val="single" w:color="6B1A1A" w:sz="1"/>
            </w:tcBorders>
            <w:shd w:fill="6B1A1A" w:val="clear"/>
            <w:tcMar>
              <w:top w:type="dxa" w:w="80"/>
              <w:left w:type="dxa" w:w="120"/>
              <w:bottom w:type="dxa" w:w="80"/>
              <w:right w:type="dxa" w:w="120"/>
            </w:tcMar>
          </w:tcPr>
          <w:p>
            <w:r>
              <w:rPr>
                <w:rFonts w:ascii="Arial" w:cs="Arial" w:eastAsia="Arial" w:hAnsi="Arial"/>
                <w:b/>
                <w:bCs/>
                <w:color w:val="FFFFFF"/>
                <w:sz w:val="20"/>
                <w:szCs w:val="20"/>
              </w:rPr>
              <w:t xml:space="preserve">OOS (2020-2024)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Sharpe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-0.52</w:t>
            </w:r>
          </w:p>
        </w:tc>
      </w:tr>
      <w:tr>
        <w:tc>
          <w:tcPr>
            <w:tcW w:type="dxa" w:w="312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Net Sharpe</w:t>
            </w:r>
          </w:p>
        </w:tc>
        <w:tc>
          <w:tcPr>
            <w:tcW w:type="dxa" w:w="312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0.38</w:t>
            </w:r>
          </w:p>
        </w:tc>
        <w:tc>
          <w:tcPr>
            <w:tcW w:type="dxa" w:w="312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-0.55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Drawdown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18.7%</w:t>
            </w:r>
          </w:p>
        </w:tc>
      </w:tr>
      <w:tr>
        <w:tc>
          <w:tcPr>
            <w:tcW w:type="dxa" w:w="312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Max DD Duration</w:t>
            </w:r>
          </w:p>
        </w:tc>
        <w:tc>
          <w:tcPr>
            <w:tcW w:type="dxa" w:w="312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280 days</w:t>
            </w:r>
          </w:p>
        </w:tc>
        <w:tc>
          <w:tcPr>
            <w:tcW w:type="dxa" w:w="312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410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Turnover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w:t>
            </w:r>
          </w:p>
        </w:tc>
      </w:tr>
      <w:tr>
        <w:tc>
          <w:tcPr>
            <w:tcW w:type="dxa" w:w="312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Cost Drag</w:t>
            </w:r>
          </w:p>
        </w:tc>
        <w:tc>
          <w:tcPr>
            <w:tcW w:type="dxa" w:w="312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~15 bps/yr</w:t>
            </w:r>
          </w:p>
        </w:tc>
        <w:tc>
          <w:tcPr>
            <w:tcW w:type="dxa" w:w="312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~15 bps/yr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bl>
    <w:p>
      <w:pPr>
        <w:spacing w:after="80"/>
      </w:pPr>
      <w:r>
        <w:t xml:space="preserve"/>
      </w:r>
    </w:p>
    <w:p>
      <w:pPr>
        <w:spacing w:after="120"/>
      </w:pPr>
      <w:r>
        <w:rPr>
          <w:rFonts w:ascii="Arial" w:cs="Arial" w:eastAsia="Arial" w:hAnsi="Arial"/>
          <w:sz w:val="22"/>
          <w:szCs w:val="22"/>
        </w:rPr>
        <w:t xml:space="preserve">Conclusion: Rates Trend fails the OOS Sharpe threshold (&gt; 0.5 required). OOS underperformance is driven by the 2022 rates shock — see Phase 2 Signal Engine document for regime analysis. The backtest engine itself performed as designed: costs were correctly applied, no lookahead bias was detected, and the full trade log was generated.</w:t>
      </w:r>
    </w:p>
    <w:p>
      <w:pPr>
        <w:spacing w:after="80"/>
      </w:pPr>
      <w:r>
        <w:t xml:space="preserve"/>
      </w:r>
    </w:p>
    <w:p>
      <w:pPr>
        <w:pStyle w:val="Heading1"/>
      </w:pPr>
      <w:r>
        <w:t xml:space="preserve">9. Known Limitations</w:t>
      </w:r>
    </w:p>
    <w:p>
      <w:pPr>
        <w:pStyle w:val="ListParagraph"/>
        <w:numPr>
          <w:ilvl w:val="0"/>
          <w:numId w:val="2"/>
        </w:numPr>
        <w:spacing w:after="80"/>
      </w:pPr>
      <w:r>
        <w:rPr>
          <w:rFonts w:ascii="Arial" w:cs="Arial" w:eastAsia="Arial" w:hAnsi="Arial"/>
          <w:sz w:val="22"/>
          <w:szCs w:val="22"/>
        </w:rPr>
        <w:t xml:space="preserve">Backtest uses Yahoo adjusted prices — corporate actions are adjusted using forward-looking split ratios (minor lookahead bias for equities, acceptable for Phase 1)</w:t>
      </w:r>
    </w:p>
    <w:p>
      <w:pPr>
        <w:pStyle w:val="ListParagraph"/>
        <w:numPr>
          <w:ilvl w:val="0"/>
          <w:numId w:val="2"/>
        </w:numPr>
        <w:spacing w:after="80"/>
      </w:pPr>
      <w:r>
        <w:rPr>
          <w:rFonts w:ascii="Arial" w:cs="Arial" w:eastAsia="Arial" w:hAnsi="Arial"/>
          <w:sz w:val="22"/>
          <w:szCs w:val="22"/>
        </w:rPr>
        <w:t xml:space="preserve">Covariance matrix uses diagonal approximation — ignores correlations between instruments</w:t>
      </w:r>
    </w:p>
    <w:p>
      <w:pPr>
        <w:pStyle w:val="ListParagraph"/>
        <w:numPr>
          <w:ilvl w:val="0"/>
          <w:numId w:val="2"/>
        </w:numPr>
        <w:spacing w:after="80"/>
      </w:pPr>
      <w:r>
        <w:rPr>
          <w:rFonts w:ascii="Arial" w:cs="Arial" w:eastAsia="Arial" w:hAnsi="Arial"/>
          <w:sz w:val="22"/>
          <w:szCs w:val="22"/>
        </w:rPr>
        <w:t xml:space="preserve">No slippage model for intraday execution — assumes fills at closing prices</w:t>
      </w:r>
    </w:p>
    <w:p>
      <w:pPr>
        <w:pStyle w:val="ListParagraph"/>
        <w:numPr>
          <w:ilvl w:val="0"/>
          <w:numId w:val="2"/>
        </w:numPr>
        <w:spacing w:after="80"/>
      </w:pPr>
      <w:r>
        <w:rPr>
          <w:rFonts w:ascii="Arial" w:cs="Arial" w:eastAsia="Arial" w:hAnsi="Arial"/>
          <w:sz w:val="22"/>
          <w:szCs w:val="22"/>
        </w:rPr>
        <w:t xml:space="preserve">Short-selling constraints not modelled — assumes unrestricted short selling</w:t>
      </w:r>
    </w:p>
    <w:p>
      <w:pPr>
        <w:pStyle w:val="ListParagraph"/>
        <w:numPr>
          <w:ilvl w:val="0"/>
          <w:numId w:val="2"/>
        </w:numPr>
        <w:spacing w:after="80"/>
      </w:pPr>
      <w:r>
        <w:rPr>
          <w:rFonts w:ascii="Arial" w:cs="Arial" w:eastAsia="Arial" w:hAnsi="Arial"/>
          <w:sz w:val="22"/>
          <w:szCs w:val="22"/>
        </w:rPr>
        <w:t xml:space="preserve">Tax effects not modelled</w:t>
      </w:r>
    </w:p>
    <w:p>
      <w:pPr>
        <w:pStyle w:val="ListParagraph"/>
        <w:numPr>
          <w:ilvl w:val="0"/>
          <w:numId w:val="2"/>
        </w:numPr>
        <w:spacing w:after="80"/>
      </w:pPr>
      <w:r>
        <w:rPr>
          <w:rFonts w:ascii="Arial" w:cs="Arial" w:eastAsia="Arial" w:hAnsi="Arial"/>
          <w:sz w:val="22"/>
          <w:szCs w:val="22"/>
        </w:rPr>
        <w:t xml:space="preserve">Phase 2 fix: replace ETF proxies with futures for rates; add proper slippage model</w:t>
      </w:r>
    </w:p>
    <w:p>
      <w:pPr>
        <w:spacing w:after="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Phase 4 — Backtest Engine  |  Systematic Trading System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B1A1A" w:sz="6" w:space="1"/>
      </w:pBdr>
      <w:spacing w:after="180" w:before="360"/>
      <w:outlineLvl w:val="0"/>
    </w:pPr>
    <w:rPr>
      <w:rFonts w:ascii="Arial" w:cs="Arial" w:eastAsia="Arial" w:hAnsi="Arial"/>
      <w:b/>
      <w:bCs/>
      <w:color w:val="6B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8B222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B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2026-05-14T14:42:32.692Z</dcterms:created>
  <dcterms:modified xsi:type="dcterms:W3CDTF">2026-05-14T14:42:32.692Z</dcterms:modified>
</cp:coreProperties>
</file>

<file path=docProps/custom.xml><?xml version="1.0" encoding="utf-8"?>
<Properties xmlns="http://schemas.openxmlformats.org/officeDocument/2006/custom-properties" xmlns:vt="http://schemas.openxmlformats.org/officeDocument/2006/docPropsVTypes"/>
</file>