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08DD" w14:textId="77777777" w:rsidR="00371B20" w:rsidRPr="00371B20" w:rsidRDefault="00371B20" w:rsidP="00371B2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71B20">
        <w:rPr>
          <w:rFonts w:ascii="Times New Roman" w:eastAsia="Times New Roman" w:hAnsi="Times New Roman" w:cs="Times New Roman"/>
          <w:b/>
          <w:bCs/>
          <w:kern w:val="36"/>
          <w:sz w:val="48"/>
          <w:szCs w:val="48"/>
          <w14:ligatures w14:val="none"/>
        </w:rPr>
        <w:t>FINA FINANCIAL SOLUTIONS</w:t>
      </w:r>
    </w:p>
    <w:p w14:paraId="161409DD"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Q3 2024 FINANCIAL REPORT</w:t>
      </w:r>
    </w:p>
    <w:p w14:paraId="19CB1544"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Third Quarter Ended September 30, 2024</w:t>
      </w:r>
    </w:p>
    <w:p w14:paraId="1EFB8B1A"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781F0674">
          <v:rect id="_x0000_i1034" alt="" style="width:468pt;height:.05pt;mso-width-percent:0;mso-height-percent:0;mso-width-percent:0;mso-height-percent:0" o:hralign="center" o:hrstd="t" o:hr="t" fillcolor="#a0a0a0" stroked="f"/>
        </w:pict>
      </w:r>
    </w:p>
    <w:p w14:paraId="33141D2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Prepared by:</w:t>
      </w:r>
      <w:r w:rsidRPr="00371B20">
        <w:rPr>
          <w:rFonts w:ascii="Times New Roman" w:eastAsia="Times New Roman" w:hAnsi="Times New Roman" w:cs="Times New Roman"/>
          <w:kern w:val="0"/>
          <w14:ligatures w14:val="none"/>
        </w:rPr>
        <w:t xml:space="preserve"> Finance Department</w:t>
      </w:r>
      <w:r w:rsidRPr="00371B20">
        <w:rPr>
          <w:rFonts w:ascii="Times New Roman" w:eastAsia="Times New Roman" w:hAnsi="Times New Roman" w:cs="Times New Roman"/>
          <w:kern w:val="0"/>
          <w14:ligatures w14:val="none"/>
        </w:rPr>
        <w:br/>
      </w:r>
      <w:r w:rsidRPr="00371B20">
        <w:rPr>
          <w:rFonts w:ascii="Times New Roman" w:eastAsia="Times New Roman" w:hAnsi="Times New Roman" w:cs="Times New Roman"/>
          <w:b/>
          <w:bCs/>
          <w:kern w:val="0"/>
          <w14:ligatures w14:val="none"/>
        </w:rPr>
        <w:t>Approved by:</w:t>
      </w:r>
      <w:r w:rsidRPr="00371B20">
        <w:rPr>
          <w:rFonts w:ascii="Times New Roman" w:eastAsia="Times New Roman" w:hAnsi="Times New Roman" w:cs="Times New Roman"/>
          <w:kern w:val="0"/>
          <w14:ligatures w14:val="none"/>
        </w:rPr>
        <w:t xml:space="preserve"> Maria Rodriguez, CFO</w:t>
      </w:r>
      <w:r w:rsidRPr="00371B20">
        <w:rPr>
          <w:rFonts w:ascii="Times New Roman" w:eastAsia="Times New Roman" w:hAnsi="Times New Roman" w:cs="Times New Roman"/>
          <w:kern w:val="0"/>
          <w14:ligatures w14:val="none"/>
        </w:rPr>
        <w:br/>
      </w:r>
      <w:r w:rsidRPr="00371B20">
        <w:rPr>
          <w:rFonts w:ascii="Times New Roman" w:eastAsia="Times New Roman" w:hAnsi="Times New Roman" w:cs="Times New Roman"/>
          <w:b/>
          <w:bCs/>
          <w:kern w:val="0"/>
          <w14:ligatures w14:val="none"/>
        </w:rPr>
        <w:t>Date:</w:t>
      </w:r>
      <w:r w:rsidRPr="00371B20">
        <w:rPr>
          <w:rFonts w:ascii="Times New Roman" w:eastAsia="Times New Roman" w:hAnsi="Times New Roman" w:cs="Times New Roman"/>
          <w:kern w:val="0"/>
          <w14:ligatures w14:val="none"/>
        </w:rPr>
        <w:t xml:space="preserve"> October 18, 2024</w:t>
      </w:r>
      <w:r w:rsidRPr="00371B20">
        <w:rPr>
          <w:rFonts w:ascii="Times New Roman" w:eastAsia="Times New Roman" w:hAnsi="Times New Roman" w:cs="Times New Roman"/>
          <w:kern w:val="0"/>
          <w14:ligatures w14:val="none"/>
        </w:rPr>
        <w:br/>
      </w:r>
      <w:r w:rsidRPr="00371B20">
        <w:rPr>
          <w:rFonts w:ascii="Times New Roman" w:eastAsia="Times New Roman" w:hAnsi="Times New Roman" w:cs="Times New Roman"/>
          <w:b/>
          <w:bCs/>
          <w:kern w:val="0"/>
          <w14:ligatures w14:val="none"/>
        </w:rPr>
        <w:t>Distribution:</w:t>
      </w:r>
      <w:r w:rsidRPr="00371B20">
        <w:rPr>
          <w:rFonts w:ascii="Times New Roman" w:eastAsia="Times New Roman" w:hAnsi="Times New Roman" w:cs="Times New Roman"/>
          <w:kern w:val="0"/>
          <w14:ligatures w14:val="none"/>
        </w:rPr>
        <w:t xml:space="preserve"> Board of Directors, Executive Leadership Team, Key Stakeholders</w:t>
      </w:r>
    </w:p>
    <w:p w14:paraId="25AFC15B"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594786C0">
          <v:rect id="_x0000_i1033" alt="" style="width:468pt;height:.05pt;mso-width-percent:0;mso-height-percent:0;mso-width-percent:0;mso-height-percent:0" o:hralign="center" o:hrstd="t" o:hr="t" fillcolor="#a0a0a0" stroked="f"/>
        </w:pict>
      </w:r>
    </w:p>
    <w:p w14:paraId="62998584"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EXECUTIVE SUMMARY</w:t>
      </w:r>
    </w:p>
    <w:p w14:paraId="36A40167"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 xml:space="preserve">Fina Financial Solutions achieved exceptional growth in Q3 2024, delivering </w:t>
      </w:r>
      <w:r w:rsidRPr="00371B20">
        <w:rPr>
          <w:rFonts w:ascii="Times New Roman" w:eastAsia="Times New Roman" w:hAnsi="Times New Roman" w:cs="Times New Roman"/>
          <w:b/>
          <w:bCs/>
          <w:kern w:val="0"/>
          <w14:ligatures w14:val="none"/>
        </w:rPr>
        <w:t>$2.3 million in total revenue</w:t>
      </w:r>
      <w:r w:rsidRPr="00371B20">
        <w:rPr>
          <w:rFonts w:ascii="Times New Roman" w:eastAsia="Times New Roman" w:hAnsi="Times New Roman" w:cs="Times New Roman"/>
          <w:kern w:val="0"/>
          <w14:ligatures w14:val="none"/>
        </w:rPr>
        <w:t xml:space="preserve">, representing a robust </w:t>
      </w:r>
      <w:r w:rsidRPr="00371B20">
        <w:rPr>
          <w:rFonts w:ascii="Times New Roman" w:eastAsia="Times New Roman" w:hAnsi="Times New Roman" w:cs="Times New Roman"/>
          <w:b/>
          <w:bCs/>
          <w:kern w:val="0"/>
          <w14:ligatures w14:val="none"/>
        </w:rPr>
        <w:t>27.8% year-over-year increase</w:t>
      </w:r>
      <w:r w:rsidRPr="00371B20">
        <w:rPr>
          <w:rFonts w:ascii="Times New Roman" w:eastAsia="Times New Roman" w:hAnsi="Times New Roman" w:cs="Times New Roman"/>
          <w:kern w:val="0"/>
          <w14:ligatures w14:val="none"/>
        </w:rPr>
        <w:t xml:space="preserve"> from Q3 2023's $1.8 million. This performance reflects our continued success in expanding our fintech SaaS platform and strengthening our position in the competitive financial services technology market.</w:t>
      </w:r>
    </w:p>
    <w:p w14:paraId="4CD6AE33"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Key Performance Highlights</w:t>
      </w:r>
    </w:p>
    <w:p w14:paraId="62E5B5F0"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Financial Performance:</w:t>
      </w:r>
    </w:p>
    <w:p w14:paraId="2181A91B" w14:textId="77777777" w:rsidR="00371B20" w:rsidRPr="00371B20" w:rsidRDefault="00371B20" w:rsidP="00371B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Revenue:</w:t>
      </w:r>
      <w:r w:rsidRPr="00371B20">
        <w:rPr>
          <w:rFonts w:ascii="Times New Roman" w:eastAsia="Times New Roman" w:hAnsi="Times New Roman" w:cs="Times New Roman"/>
          <w:kern w:val="0"/>
          <w14:ligatures w14:val="none"/>
        </w:rPr>
        <w:t xml:space="preserve"> $2.30M (↑27.8% YoY)</w:t>
      </w:r>
    </w:p>
    <w:p w14:paraId="06414063" w14:textId="77777777" w:rsidR="00371B20" w:rsidRPr="00371B20" w:rsidRDefault="00371B20" w:rsidP="00371B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Gross Profit:</w:t>
      </w:r>
      <w:r w:rsidRPr="00371B20">
        <w:rPr>
          <w:rFonts w:ascii="Times New Roman" w:eastAsia="Times New Roman" w:hAnsi="Times New Roman" w:cs="Times New Roman"/>
          <w:kern w:val="0"/>
          <w14:ligatures w14:val="none"/>
        </w:rPr>
        <w:t xml:space="preserve"> $1.73M (↑31.4% YoY)</w:t>
      </w:r>
    </w:p>
    <w:p w14:paraId="104FC5B3" w14:textId="77777777" w:rsidR="00371B20" w:rsidRPr="00371B20" w:rsidRDefault="00371B20" w:rsidP="00371B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Gross Margin:</w:t>
      </w:r>
      <w:r w:rsidRPr="00371B20">
        <w:rPr>
          <w:rFonts w:ascii="Times New Roman" w:eastAsia="Times New Roman" w:hAnsi="Times New Roman" w:cs="Times New Roman"/>
          <w:kern w:val="0"/>
          <w14:ligatures w14:val="none"/>
        </w:rPr>
        <w:t xml:space="preserve"> 75.2% (↑2.1 percentage points YoY)</w:t>
      </w:r>
    </w:p>
    <w:p w14:paraId="5F600C30" w14:textId="77777777" w:rsidR="00371B20" w:rsidRPr="00371B20" w:rsidRDefault="00371B20" w:rsidP="00371B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Operating Income:</w:t>
      </w:r>
      <w:r w:rsidRPr="00371B20">
        <w:rPr>
          <w:rFonts w:ascii="Times New Roman" w:eastAsia="Times New Roman" w:hAnsi="Times New Roman" w:cs="Times New Roman"/>
          <w:kern w:val="0"/>
          <w14:ligatures w14:val="none"/>
        </w:rPr>
        <w:t xml:space="preserve"> $312K (↑142% YoY)</w:t>
      </w:r>
    </w:p>
    <w:p w14:paraId="02C07511" w14:textId="77777777" w:rsidR="00371B20" w:rsidRPr="00371B20" w:rsidRDefault="00371B20" w:rsidP="00371B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Net Income:</w:t>
      </w:r>
      <w:r w:rsidRPr="00371B20">
        <w:rPr>
          <w:rFonts w:ascii="Times New Roman" w:eastAsia="Times New Roman" w:hAnsi="Times New Roman" w:cs="Times New Roman"/>
          <w:kern w:val="0"/>
          <w14:ligatures w14:val="none"/>
        </w:rPr>
        <w:t xml:space="preserve"> $298K (↑164% YoY)</w:t>
      </w:r>
    </w:p>
    <w:p w14:paraId="2C57C8AC" w14:textId="77777777" w:rsidR="00371B20" w:rsidRPr="00371B20" w:rsidRDefault="00371B20" w:rsidP="00371B2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EBITDA:</w:t>
      </w:r>
      <w:r w:rsidRPr="00371B20">
        <w:rPr>
          <w:rFonts w:ascii="Times New Roman" w:eastAsia="Times New Roman" w:hAnsi="Times New Roman" w:cs="Times New Roman"/>
          <w:kern w:val="0"/>
          <w14:ligatures w14:val="none"/>
        </w:rPr>
        <w:t xml:space="preserve"> $456K (↑87.3% YoY)</w:t>
      </w:r>
    </w:p>
    <w:p w14:paraId="3EBA2A81"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Operational Metrics:</w:t>
      </w:r>
    </w:p>
    <w:p w14:paraId="06FD744D" w14:textId="77777777" w:rsidR="00371B20" w:rsidRPr="00371B20" w:rsidRDefault="00371B20" w:rsidP="00371B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New Client Acquisitions:</w:t>
      </w:r>
      <w:r w:rsidRPr="00371B20">
        <w:rPr>
          <w:rFonts w:ascii="Times New Roman" w:eastAsia="Times New Roman" w:hAnsi="Times New Roman" w:cs="Times New Roman"/>
          <w:kern w:val="0"/>
          <w14:ligatures w14:val="none"/>
        </w:rPr>
        <w:t xml:space="preserve"> 52 financial institutions (↑62.5% YoY)</w:t>
      </w:r>
    </w:p>
    <w:p w14:paraId="446374DB" w14:textId="77777777" w:rsidR="00371B20" w:rsidRPr="00371B20" w:rsidRDefault="00371B20" w:rsidP="00371B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Client Retention Rate:</w:t>
      </w:r>
      <w:r w:rsidRPr="00371B20">
        <w:rPr>
          <w:rFonts w:ascii="Times New Roman" w:eastAsia="Times New Roman" w:hAnsi="Times New Roman" w:cs="Times New Roman"/>
          <w:kern w:val="0"/>
          <w14:ligatures w14:val="none"/>
        </w:rPr>
        <w:t xml:space="preserve"> 96.1%</w:t>
      </w:r>
    </w:p>
    <w:p w14:paraId="3686C8F4" w14:textId="77777777" w:rsidR="00371B20" w:rsidRPr="00371B20" w:rsidRDefault="00371B20" w:rsidP="00371B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Average Revenue Per User (ARPU):</w:t>
      </w:r>
      <w:r w:rsidRPr="00371B20">
        <w:rPr>
          <w:rFonts w:ascii="Times New Roman" w:eastAsia="Times New Roman" w:hAnsi="Times New Roman" w:cs="Times New Roman"/>
          <w:kern w:val="0"/>
          <w14:ligatures w14:val="none"/>
        </w:rPr>
        <w:t xml:space="preserve"> $31,200 (↑15.7% YoY)</w:t>
      </w:r>
    </w:p>
    <w:p w14:paraId="6BD818D9" w14:textId="77777777" w:rsidR="00371B20" w:rsidRPr="00371B20" w:rsidRDefault="00371B20" w:rsidP="00371B2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Monthly Recurring Revenue (MRR):</w:t>
      </w:r>
      <w:r w:rsidRPr="00371B20">
        <w:rPr>
          <w:rFonts w:ascii="Times New Roman" w:eastAsia="Times New Roman" w:hAnsi="Times New Roman" w:cs="Times New Roman"/>
          <w:kern w:val="0"/>
          <w14:ligatures w14:val="none"/>
        </w:rPr>
        <w:t xml:space="preserve"> $687K at quarter end</w:t>
      </w:r>
    </w:p>
    <w:p w14:paraId="5C3E1F5D"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Product Line Performance:</w:t>
      </w:r>
    </w:p>
    <w:p w14:paraId="5646073A" w14:textId="77777777" w:rsidR="00371B20" w:rsidRPr="00371B20" w:rsidRDefault="00371B20" w:rsidP="00371B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SaaS Platform drove growth with $1.48M revenue (↑38.2% YoY)</w:t>
      </w:r>
    </w:p>
    <w:p w14:paraId="5790311B" w14:textId="77777777" w:rsidR="00371B20" w:rsidRPr="00371B20" w:rsidRDefault="00371B20" w:rsidP="00371B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Consulting Services delivered $586K (↑18.9% YoY)</w:t>
      </w:r>
    </w:p>
    <w:p w14:paraId="51B8CE5F" w14:textId="77777777" w:rsidR="00371B20" w:rsidRPr="00371B20" w:rsidRDefault="00371B20" w:rsidP="00371B2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lastRenderedPageBreak/>
        <w:t>Support &amp; Training generated $234K (↑16.4% YoY)</w:t>
      </w:r>
    </w:p>
    <w:p w14:paraId="39D1EC20"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Our strong Q3 results were propelled by increased adoption of our core fintech platform among regional banks and credit unions, successful expansion into new geographic markets, and enhanced product capabilities that drove higher customer engagement and retention.</w:t>
      </w:r>
    </w:p>
    <w:p w14:paraId="455C6AC1"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28096245">
          <v:rect id="_x0000_i1032" alt="" style="width:468pt;height:.05pt;mso-width-percent:0;mso-height-percent:0;mso-width-percent:0;mso-height-percent:0" o:hralign="center" o:hrstd="t" o:hr="t" fillcolor="#a0a0a0" stroked="f"/>
        </w:pict>
      </w:r>
    </w:p>
    <w:p w14:paraId="057853DF"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REVENUE ANALYSIS</w:t>
      </w:r>
    </w:p>
    <w:p w14:paraId="743638BF"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Quarterly Revenue Breakdown</w:t>
      </w:r>
    </w:p>
    <w:p w14:paraId="5F2BF411"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Q3 2024 Revenue by Product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907"/>
        <w:gridCol w:w="907"/>
        <w:gridCol w:w="860"/>
        <w:gridCol w:w="1182"/>
      </w:tblGrid>
      <w:tr w:rsidR="00371B20" w:rsidRPr="00371B20" w14:paraId="7B33089F" w14:textId="77777777">
        <w:trPr>
          <w:tblHeader/>
          <w:tblCellSpacing w:w="15" w:type="dxa"/>
        </w:trPr>
        <w:tc>
          <w:tcPr>
            <w:tcW w:w="0" w:type="auto"/>
            <w:vAlign w:val="center"/>
            <w:hideMark/>
          </w:tcPr>
          <w:p w14:paraId="343F139B"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Product Line</w:t>
            </w:r>
          </w:p>
        </w:tc>
        <w:tc>
          <w:tcPr>
            <w:tcW w:w="0" w:type="auto"/>
            <w:vAlign w:val="center"/>
            <w:hideMark/>
          </w:tcPr>
          <w:p w14:paraId="72DFFC92"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2024</w:t>
            </w:r>
          </w:p>
        </w:tc>
        <w:tc>
          <w:tcPr>
            <w:tcW w:w="0" w:type="auto"/>
            <w:vAlign w:val="center"/>
            <w:hideMark/>
          </w:tcPr>
          <w:p w14:paraId="15E95006"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2023</w:t>
            </w:r>
          </w:p>
        </w:tc>
        <w:tc>
          <w:tcPr>
            <w:tcW w:w="0" w:type="auto"/>
            <w:vAlign w:val="center"/>
            <w:hideMark/>
          </w:tcPr>
          <w:p w14:paraId="32AFA7B5"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Growth</w:t>
            </w:r>
          </w:p>
        </w:tc>
        <w:tc>
          <w:tcPr>
            <w:tcW w:w="0" w:type="auto"/>
            <w:vAlign w:val="center"/>
            <w:hideMark/>
          </w:tcPr>
          <w:p w14:paraId="17C1A711"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 of Total</w:t>
            </w:r>
          </w:p>
        </w:tc>
      </w:tr>
      <w:tr w:rsidR="00371B20" w:rsidRPr="00371B20" w14:paraId="62EF308A" w14:textId="77777777">
        <w:trPr>
          <w:tblCellSpacing w:w="15" w:type="dxa"/>
        </w:trPr>
        <w:tc>
          <w:tcPr>
            <w:tcW w:w="0" w:type="auto"/>
            <w:vAlign w:val="center"/>
            <w:hideMark/>
          </w:tcPr>
          <w:p w14:paraId="6FDEA69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SaaS Platform</w:t>
            </w:r>
          </w:p>
        </w:tc>
        <w:tc>
          <w:tcPr>
            <w:tcW w:w="0" w:type="auto"/>
            <w:vAlign w:val="center"/>
            <w:hideMark/>
          </w:tcPr>
          <w:p w14:paraId="4BAA894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$1,482K</w:t>
            </w:r>
          </w:p>
        </w:tc>
        <w:tc>
          <w:tcPr>
            <w:tcW w:w="0" w:type="auto"/>
            <w:vAlign w:val="center"/>
            <w:hideMark/>
          </w:tcPr>
          <w:p w14:paraId="68609A0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$1,072K</w:t>
            </w:r>
          </w:p>
        </w:tc>
        <w:tc>
          <w:tcPr>
            <w:tcW w:w="0" w:type="auto"/>
            <w:vAlign w:val="center"/>
            <w:hideMark/>
          </w:tcPr>
          <w:p w14:paraId="5D02758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+38.2%</w:t>
            </w:r>
          </w:p>
        </w:tc>
        <w:tc>
          <w:tcPr>
            <w:tcW w:w="0" w:type="auto"/>
            <w:vAlign w:val="center"/>
            <w:hideMark/>
          </w:tcPr>
          <w:p w14:paraId="4262CA1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64.4%</w:t>
            </w:r>
          </w:p>
        </w:tc>
      </w:tr>
      <w:tr w:rsidR="00371B20" w:rsidRPr="00371B20" w14:paraId="23CEE82E" w14:textId="77777777">
        <w:trPr>
          <w:tblCellSpacing w:w="15" w:type="dxa"/>
        </w:trPr>
        <w:tc>
          <w:tcPr>
            <w:tcW w:w="0" w:type="auto"/>
            <w:vAlign w:val="center"/>
            <w:hideMark/>
          </w:tcPr>
          <w:p w14:paraId="0D25FEB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Consulting Services</w:t>
            </w:r>
          </w:p>
        </w:tc>
        <w:tc>
          <w:tcPr>
            <w:tcW w:w="0" w:type="auto"/>
            <w:vAlign w:val="center"/>
            <w:hideMark/>
          </w:tcPr>
          <w:p w14:paraId="05A9917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$586K</w:t>
            </w:r>
          </w:p>
        </w:tc>
        <w:tc>
          <w:tcPr>
            <w:tcW w:w="0" w:type="auto"/>
            <w:vAlign w:val="center"/>
            <w:hideMark/>
          </w:tcPr>
          <w:p w14:paraId="553F4E8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$493K</w:t>
            </w:r>
          </w:p>
        </w:tc>
        <w:tc>
          <w:tcPr>
            <w:tcW w:w="0" w:type="auto"/>
            <w:vAlign w:val="center"/>
            <w:hideMark/>
          </w:tcPr>
          <w:p w14:paraId="78B4CDB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+18.9%</w:t>
            </w:r>
          </w:p>
        </w:tc>
        <w:tc>
          <w:tcPr>
            <w:tcW w:w="0" w:type="auto"/>
            <w:vAlign w:val="center"/>
            <w:hideMark/>
          </w:tcPr>
          <w:p w14:paraId="4B44A73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25.5%</w:t>
            </w:r>
          </w:p>
        </w:tc>
      </w:tr>
      <w:tr w:rsidR="00371B20" w:rsidRPr="00371B20" w14:paraId="19FB6C0D" w14:textId="77777777">
        <w:trPr>
          <w:tblCellSpacing w:w="15" w:type="dxa"/>
        </w:trPr>
        <w:tc>
          <w:tcPr>
            <w:tcW w:w="0" w:type="auto"/>
            <w:vAlign w:val="center"/>
            <w:hideMark/>
          </w:tcPr>
          <w:p w14:paraId="53ADFD5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Support &amp; Training</w:t>
            </w:r>
          </w:p>
        </w:tc>
        <w:tc>
          <w:tcPr>
            <w:tcW w:w="0" w:type="auto"/>
            <w:vAlign w:val="center"/>
            <w:hideMark/>
          </w:tcPr>
          <w:p w14:paraId="54DC90C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$234K</w:t>
            </w:r>
          </w:p>
        </w:tc>
        <w:tc>
          <w:tcPr>
            <w:tcW w:w="0" w:type="auto"/>
            <w:vAlign w:val="center"/>
            <w:hideMark/>
          </w:tcPr>
          <w:p w14:paraId="2CABEA0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$201K</w:t>
            </w:r>
          </w:p>
        </w:tc>
        <w:tc>
          <w:tcPr>
            <w:tcW w:w="0" w:type="auto"/>
            <w:vAlign w:val="center"/>
            <w:hideMark/>
          </w:tcPr>
          <w:p w14:paraId="5A3DFB6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+16.4%</w:t>
            </w:r>
          </w:p>
        </w:tc>
        <w:tc>
          <w:tcPr>
            <w:tcW w:w="0" w:type="auto"/>
            <w:vAlign w:val="center"/>
            <w:hideMark/>
          </w:tcPr>
          <w:p w14:paraId="16E2E86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10.2%</w:t>
            </w:r>
          </w:p>
        </w:tc>
      </w:tr>
      <w:tr w:rsidR="00371B20" w:rsidRPr="00371B20" w14:paraId="3F4A9AB5" w14:textId="77777777">
        <w:trPr>
          <w:tblCellSpacing w:w="15" w:type="dxa"/>
        </w:trPr>
        <w:tc>
          <w:tcPr>
            <w:tcW w:w="0" w:type="auto"/>
            <w:vAlign w:val="center"/>
            <w:hideMark/>
          </w:tcPr>
          <w:p w14:paraId="5D6CE90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Revenue</w:t>
            </w:r>
          </w:p>
        </w:tc>
        <w:tc>
          <w:tcPr>
            <w:tcW w:w="0" w:type="auto"/>
            <w:vAlign w:val="center"/>
            <w:hideMark/>
          </w:tcPr>
          <w:p w14:paraId="3634246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$2,302K</w:t>
            </w:r>
          </w:p>
        </w:tc>
        <w:tc>
          <w:tcPr>
            <w:tcW w:w="0" w:type="auto"/>
            <w:vAlign w:val="center"/>
            <w:hideMark/>
          </w:tcPr>
          <w:p w14:paraId="096671F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$1,800K</w:t>
            </w:r>
          </w:p>
        </w:tc>
        <w:tc>
          <w:tcPr>
            <w:tcW w:w="0" w:type="auto"/>
            <w:vAlign w:val="center"/>
            <w:hideMark/>
          </w:tcPr>
          <w:p w14:paraId="3A2F010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+27.9%</w:t>
            </w:r>
          </w:p>
        </w:tc>
        <w:tc>
          <w:tcPr>
            <w:tcW w:w="0" w:type="auto"/>
            <w:vAlign w:val="center"/>
            <w:hideMark/>
          </w:tcPr>
          <w:p w14:paraId="38480DE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100.0%</w:t>
            </w:r>
          </w:p>
        </w:tc>
      </w:tr>
    </w:tbl>
    <w:p w14:paraId="2C1DDD48"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Revenue Trends - Last Five Quarters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907"/>
        <w:gridCol w:w="907"/>
        <w:gridCol w:w="907"/>
        <w:gridCol w:w="907"/>
        <w:gridCol w:w="922"/>
      </w:tblGrid>
      <w:tr w:rsidR="00371B20" w:rsidRPr="00371B20" w14:paraId="57666490" w14:textId="77777777">
        <w:trPr>
          <w:tblHeader/>
          <w:tblCellSpacing w:w="15" w:type="dxa"/>
        </w:trPr>
        <w:tc>
          <w:tcPr>
            <w:tcW w:w="0" w:type="auto"/>
            <w:vAlign w:val="center"/>
            <w:hideMark/>
          </w:tcPr>
          <w:p w14:paraId="10BEF098"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Quarter</w:t>
            </w:r>
          </w:p>
        </w:tc>
        <w:tc>
          <w:tcPr>
            <w:tcW w:w="0" w:type="auto"/>
            <w:vAlign w:val="center"/>
            <w:hideMark/>
          </w:tcPr>
          <w:p w14:paraId="0820BE1B"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2023 Q3</w:t>
            </w:r>
          </w:p>
        </w:tc>
        <w:tc>
          <w:tcPr>
            <w:tcW w:w="0" w:type="auto"/>
            <w:vAlign w:val="center"/>
            <w:hideMark/>
          </w:tcPr>
          <w:p w14:paraId="6B29BED7"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2023 Q4</w:t>
            </w:r>
          </w:p>
        </w:tc>
        <w:tc>
          <w:tcPr>
            <w:tcW w:w="0" w:type="auto"/>
            <w:vAlign w:val="center"/>
            <w:hideMark/>
          </w:tcPr>
          <w:p w14:paraId="3B8B1E50"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2024 Q1</w:t>
            </w:r>
          </w:p>
        </w:tc>
        <w:tc>
          <w:tcPr>
            <w:tcW w:w="0" w:type="auto"/>
            <w:vAlign w:val="center"/>
            <w:hideMark/>
          </w:tcPr>
          <w:p w14:paraId="6316C597"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2024 Q2</w:t>
            </w:r>
          </w:p>
        </w:tc>
        <w:tc>
          <w:tcPr>
            <w:tcW w:w="0" w:type="auto"/>
            <w:vAlign w:val="center"/>
            <w:hideMark/>
          </w:tcPr>
          <w:p w14:paraId="7BA72C96"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2024 Q3</w:t>
            </w:r>
          </w:p>
        </w:tc>
      </w:tr>
      <w:tr w:rsidR="00371B20" w:rsidRPr="00371B20" w14:paraId="053C20C6" w14:textId="77777777">
        <w:trPr>
          <w:tblCellSpacing w:w="15" w:type="dxa"/>
        </w:trPr>
        <w:tc>
          <w:tcPr>
            <w:tcW w:w="0" w:type="auto"/>
            <w:vAlign w:val="center"/>
            <w:hideMark/>
          </w:tcPr>
          <w:p w14:paraId="0E2CBBB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Total Revenue</w:t>
            </w:r>
          </w:p>
        </w:tc>
        <w:tc>
          <w:tcPr>
            <w:tcW w:w="0" w:type="auto"/>
            <w:vAlign w:val="center"/>
            <w:hideMark/>
          </w:tcPr>
          <w:p w14:paraId="6529EEF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$1,800K</w:t>
            </w:r>
          </w:p>
        </w:tc>
        <w:tc>
          <w:tcPr>
            <w:tcW w:w="0" w:type="auto"/>
            <w:vAlign w:val="center"/>
            <w:hideMark/>
          </w:tcPr>
          <w:p w14:paraId="14C135E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$1,987K</w:t>
            </w:r>
          </w:p>
        </w:tc>
        <w:tc>
          <w:tcPr>
            <w:tcW w:w="0" w:type="auto"/>
            <w:vAlign w:val="center"/>
            <w:hideMark/>
          </w:tcPr>
          <w:p w14:paraId="533D8CE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$2,089K</w:t>
            </w:r>
          </w:p>
        </w:tc>
        <w:tc>
          <w:tcPr>
            <w:tcW w:w="0" w:type="auto"/>
            <w:vAlign w:val="center"/>
            <w:hideMark/>
          </w:tcPr>
          <w:p w14:paraId="7B5427C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$2,176K</w:t>
            </w:r>
          </w:p>
        </w:tc>
        <w:tc>
          <w:tcPr>
            <w:tcW w:w="0" w:type="auto"/>
            <w:vAlign w:val="center"/>
            <w:hideMark/>
          </w:tcPr>
          <w:p w14:paraId="6687DD2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$2,302K</w:t>
            </w:r>
          </w:p>
        </w:tc>
      </w:tr>
      <w:tr w:rsidR="00371B20" w:rsidRPr="00371B20" w14:paraId="6ACEAB2E" w14:textId="77777777">
        <w:trPr>
          <w:tblCellSpacing w:w="15" w:type="dxa"/>
        </w:trPr>
        <w:tc>
          <w:tcPr>
            <w:tcW w:w="0" w:type="auto"/>
            <w:vAlign w:val="center"/>
            <w:hideMark/>
          </w:tcPr>
          <w:p w14:paraId="6EC20C3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QoQ Growth</w:t>
            </w:r>
          </w:p>
        </w:tc>
        <w:tc>
          <w:tcPr>
            <w:tcW w:w="0" w:type="auto"/>
            <w:vAlign w:val="center"/>
            <w:hideMark/>
          </w:tcPr>
          <w:p w14:paraId="255B945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+14.2%</w:t>
            </w:r>
          </w:p>
        </w:tc>
        <w:tc>
          <w:tcPr>
            <w:tcW w:w="0" w:type="auto"/>
            <w:vAlign w:val="center"/>
            <w:hideMark/>
          </w:tcPr>
          <w:p w14:paraId="455698E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+10.4%</w:t>
            </w:r>
          </w:p>
        </w:tc>
        <w:tc>
          <w:tcPr>
            <w:tcW w:w="0" w:type="auto"/>
            <w:vAlign w:val="center"/>
            <w:hideMark/>
          </w:tcPr>
          <w:p w14:paraId="2634EB2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+5.1%</w:t>
            </w:r>
          </w:p>
        </w:tc>
        <w:tc>
          <w:tcPr>
            <w:tcW w:w="0" w:type="auto"/>
            <w:vAlign w:val="center"/>
            <w:hideMark/>
          </w:tcPr>
          <w:p w14:paraId="572EF09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+4.2%</w:t>
            </w:r>
          </w:p>
        </w:tc>
        <w:tc>
          <w:tcPr>
            <w:tcW w:w="0" w:type="auto"/>
            <w:vAlign w:val="center"/>
            <w:hideMark/>
          </w:tcPr>
          <w:p w14:paraId="3ED0C97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+5.8%</w:t>
            </w:r>
          </w:p>
        </w:tc>
      </w:tr>
      <w:tr w:rsidR="00371B20" w:rsidRPr="00371B20" w14:paraId="02533D5B" w14:textId="77777777">
        <w:trPr>
          <w:tblCellSpacing w:w="15" w:type="dxa"/>
        </w:trPr>
        <w:tc>
          <w:tcPr>
            <w:tcW w:w="0" w:type="auto"/>
            <w:vAlign w:val="center"/>
            <w:hideMark/>
          </w:tcPr>
          <w:p w14:paraId="1589FDB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YoY Growth</w:t>
            </w:r>
          </w:p>
        </w:tc>
        <w:tc>
          <w:tcPr>
            <w:tcW w:w="0" w:type="auto"/>
            <w:vAlign w:val="center"/>
            <w:hideMark/>
          </w:tcPr>
          <w:p w14:paraId="69D6646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+29.1%</w:t>
            </w:r>
          </w:p>
        </w:tc>
        <w:tc>
          <w:tcPr>
            <w:tcW w:w="0" w:type="auto"/>
            <w:vAlign w:val="center"/>
            <w:hideMark/>
          </w:tcPr>
          <w:p w14:paraId="60D70CA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+26.8%</w:t>
            </w:r>
          </w:p>
        </w:tc>
        <w:tc>
          <w:tcPr>
            <w:tcW w:w="0" w:type="auto"/>
            <w:vAlign w:val="center"/>
            <w:hideMark/>
          </w:tcPr>
          <w:p w14:paraId="350E1E5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+22.4%</w:t>
            </w:r>
          </w:p>
        </w:tc>
        <w:tc>
          <w:tcPr>
            <w:tcW w:w="0" w:type="auto"/>
            <w:vAlign w:val="center"/>
            <w:hideMark/>
          </w:tcPr>
          <w:p w14:paraId="79AED31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+21.7%</w:t>
            </w:r>
          </w:p>
        </w:tc>
        <w:tc>
          <w:tcPr>
            <w:tcW w:w="0" w:type="auto"/>
            <w:vAlign w:val="center"/>
            <w:hideMark/>
          </w:tcPr>
          <w:p w14:paraId="42E5BB6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+27.9%</w:t>
            </w:r>
          </w:p>
        </w:tc>
      </w:tr>
    </w:tbl>
    <w:p w14:paraId="4E6584DB"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SaaS Platform Revenue Deep Dive</w:t>
      </w:r>
    </w:p>
    <w:p w14:paraId="27A69343"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Monthly Recurring Revenue (MRR) Progression:</w:t>
      </w:r>
    </w:p>
    <w:p w14:paraId="3C6C49AE" w14:textId="77777777" w:rsidR="00371B20" w:rsidRPr="00371B20" w:rsidRDefault="00371B20" w:rsidP="00371B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July 2024: $647K</w:t>
      </w:r>
    </w:p>
    <w:p w14:paraId="215377F9" w14:textId="77777777" w:rsidR="00371B20" w:rsidRPr="00371B20" w:rsidRDefault="00371B20" w:rsidP="00371B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August 2024: $668K (+3.2%)</w:t>
      </w:r>
    </w:p>
    <w:p w14:paraId="1A2E442E" w14:textId="77777777" w:rsidR="00371B20" w:rsidRPr="00371B20" w:rsidRDefault="00371B20" w:rsidP="00371B2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September 2024: $687K (+2.8%)</w:t>
      </w:r>
    </w:p>
    <w:p w14:paraId="7BFA5F71"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SaaS Key Metrics:</w:t>
      </w:r>
    </w:p>
    <w:p w14:paraId="4F2C5DDF" w14:textId="77777777" w:rsidR="00371B20" w:rsidRPr="00371B20" w:rsidRDefault="00371B20" w:rsidP="00371B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Annual Recurring Revenue (ARR): $8.24M (↑36.8% from Q3 2023)</w:t>
      </w:r>
    </w:p>
    <w:p w14:paraId="741A1C89" w14:textId="77777777" w:rsidR="00371B20" w:rsidRPr="00371B20" w:rsidRDefault="00371B20" w:rsidP="00371B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New MRR: $89K in Q3 2024</w:t>
      </w:r>
    </w:p>
    <w:p w14:paraId="28C59C85" w14:textId="77777777" w:rsidR="00371B20" w:rsidRPr="00371B20" w:rsidRDefault="00371B20" w:rsidP="00371B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MRR Churn Rate: 2.1% (improved from 3.4% in Q3 2023)</w:t>
      </w:r>
    </w:p>
    <w:p w14:paraId="4012719C" w14:textId="77777777" w:rsidR="00371B20" w:rsidRPr="00371B20" w:rsidRDefault="00371B20" w:rsidP="00371B2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Net Revenue Retention: 121.3%</w:t>
      </w:r>
    </w:p>
    <w:p w14:paraId="1E9D389A"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Customer Metrics &amp; Economics</w:t>
      </w:r>
    </w:p>
    <w:p w14:paraId="10913800"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lastRenderedPageBreak/>
        <w:t>Customer Acquisition:</w:t>
      </w:r>
    </w:p>
    <w:p w14:paraId="2E1E197D" w14:textId="77777777" w:rsidR="00371B20" w:rsidRPr="00371B20" w:rsidRDefault="00371B20" w:rsidP="00371B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New clients acquired: 52 (vs. 32 in Q3 2023)</w:t>
      </w:r>
    </w:p>
    <w:p w14:paraId="53C4A0CF" w14:textId="77777777" w:rsidR="00371B20" w:rsidRPr="00371B20" w:rsidRDefault="00371B20" w:rsidP="00371B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Customer Acquisition Cost (CAC): $4,280 (↓12.1% from Q3 2023)</w:t>
      </w:r>
    </w:p>
    <w:p w14:paraId="3959FB38" w14:textId="77777777" w:rsidR="00371B20" w:rsidRPr="00371B20" w:rsidRDefault="00371B20" w:rsidP="00371B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Sales &amp; Marketing Efficiency (LTV/CAC): 28.7:1</w:t>
      </w:r>
    </w:p>
    <w:p w14:paraId="4C075AE6" w14:textId="77777777" w:rsidR="00371B20" w:rsidRPr="00371B20" w:rsidRDefault="00371B20" w:rsidP="00371B2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Average sales cycle: 6.2 months</w:t>
      </w:r>
    </w:p>
    <w:p w14:paraId="5137154D"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Customer Base:</w:t>
      </w:r>
    </w:p>
    <w:p w14:paraId="49390C74" w14:textId="77777777" w:rsidR="00371B20" w:rsidRPr="00371B20" w:rsidRDefault="00371B20" w:rsidP="00371B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Total active clients: 287 (↑34.8% YoY)</w:t>
      </w:r>
    </w:p>
    <w:p w14:paraId="2C9FA40B" w14:textId="77777777" w:rsidR="00371B20" w:rsidRPr="00371B20" w:rsidRDefault="00371B20" w:rsidP="00371B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Average contract length: 24 months</w:t>
      </w:r>
    </w:p>
    <w:p w14:paraId="0365150A" w14:textId="77777777" w:rsidR="00371B20" w:rsidRPr="00371B20" w:rsidRDefault="00371B20" w:rsidP="00371B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Upsell revenue: $127K in Q3 2024</w:t>
      </w:r>
    </w:p>
    <w:p w14:paraId="57E4C858" w14:textId="77777777" w:rsidR="00371B20" w:rsidRPr="00371B20" w:rsidRDefault="00371B20" w:rsidP="00371B2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Customer Lifetime Value (CLV): $123K</w:t>
      </w:r>
    </w:p>
    <w:p w14:paraId="7EE6BC25"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0B0BC7D6">
          <v:rect id="_x0000_i1031" alt="" style="width:468pt;height:.05pt;mso-width-percent:0;mso-height-percent:0;mso-width-percent:0;mso-height-percent:0" o:hralign="center" o:hrstd="t" o:hr="t" fillcolor="#a0a0a0" stroked="f"/>
        </w:pict>
      </w:r>
    </w:p>
    <w:p w14:paraId="74CCD205"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COST ANALYSIS &amp; PROFITABILITY</w:t>
      </w:r>
    </w:p>
    <w:p w14:paraId="70A2104F"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Cost of Revenue</w:t>
      </w:r>
    </w:p>
    <w:p w14:paraId="1458A8B4"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Q3 2024 Cost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907"/>
        <w:gridCol w:w="907"/>
        <w:gridCol w:w="857"/>
        <w:gridCol w:w="1515"/>
      </w:tblGrid>
      <w:tr w:rsidR="00371B20" w:rsidRPr="00371B20" w14:paraId="4C724B6B" w14:textId="77777777">
        <w:trPr>
          <w:tblHeader/>
          <w:tblCellSpacing w:w="15" w:type="dxa"/>
        </w:trPr>
        <w:tc>
          <w:tcPr>
            <w:tcW w:w="0" w:type="auto"/>
            <w:vAlign w:val="center"/>
            <w:hideMark/>
          </w:tcPr>
          <w:p w14:paraId="284CBA90"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Category</w:t>
            </w:r>
          </w:p>
        </w:tc>
        <w:tc>
          <w:tcPr>
            <w:tcW w:w="0" w:type="auto"/>
            <w:vAlign w:val="center"/>
            <w:hideMark/>
          </w:tcPr>
          <w:p w14:paraId="229DF07E"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2024</w:t>
            </w:r>
          </w:p>
        </w:tc>
        <w:tc>
          <w:tcPr>
            <w:tcW w:w="0" w:type="auto"/>
            <w:vAlign w:val="center"/>
            <w:hideMark/>
          </w:tcPr>
          <w:p w14:paraId="201FE4DF"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2023</w:t>
            </w:r>
          </w:p>
        </w:tc>
        <w:tc>
          <w:tcPr>
            <w:tcW w:w="0" w:type="auto"/>
            <w:vAlign w:val="center"/>
            <w:hideMark/>
          </w:tcPr>
          <w:p w14:paraId="029C035A"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Change</w:t>
            </w:r>
          </w:p>
        </w:tc>
        <w:tc>
          <w:tcPr>
            <w:tcW w:w="0" w:type="auto"/>
            <w:vAlign w:val="center"/>
            <w:hideMark/>
          </w:tcPr>
          <w:p w14:paraId="363939FC"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 of Revenue</w:t>
            </w:r>
          </w:p>
        </w:tc>
      </w:tr>
      <w:tr w:rsidR="00371B20" w:rsidRPr="00371B20" w14:paraId="5374F1D3" w14:textId="77777777">
        <w:trPr>
          <w:tblCellSpacing w:w="15" w:type="dxa"/>
        </w:trPr>
        <w:tc>
          <w:tcPr>
            <w:tcW w:w="0" w:type="auto"/>
            <w:vAlign w:val="center"/>
            <w:hideMark/>
          </w:tcPr>
          <w:p w14:paraId="57C434A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Technology &amp; Infrastructure</w:t>
            </w:r>
          </w:p>
        </w:tc>
        <w:tc>
          <w:tcPr>
            <w:tcW w:w="0" w:type="auto"/>
            <w:vAlign w:val="center"/>
            <w:hideMark/>
          </w:tcPr>
          <w:p w14:paraId="1D25541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$312K</w:t>
            </w:r>
          </w:p>
        </w:tc>
        <w:tc>
          <w:tcPr>
            <w:tcW w:w="0" w:type="auto"/>
            <w:vAlign w:val="center"/>
            <w:hideMark/>
          </w:tcPr>
          <w:p w14:paraId="3C17091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$245K</w:t>
            </w:r>
          </w:p>
        </w:tc>
        <w:tc>
          <w:tcPr>
            <w:tcW w:w="0" w:type="auto"/>
            <w:vAlign w:val="center"/>
            <w:hideMark/>
          </w:tcPr>
          <w:p w14:paraId="5AC5577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+27.3%</w:t>
            </w:r>
          </w:p>
        </w:tc>
        <w:tc>
          <w:tcPr>
            <w:tcW w:w="0" w:type="auto"/>
            <w:vAlign w:val="center"/>
            <w:hideMark/>
          </w:tcPr>
          <w:p w14:paraId="5FB8E6A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13.6%</w:t>
            </w:r>
          </w:p>
        </w:tc>
      </w:tr>
      <w:tr w:rsidR="00371B20" w:rsidRPr="00371B20" w14:paraId="36C051CC" w14:textId="77777777">
        <w:trPr>
          <w:tblCellSpacing w:w="15" w:type="dxa"/>
        </w:trPr>
        <w:tc>
          <w:tcPr>
            <w:tcW w:w="0" w:type="auto"/>
            <w:vAlign w:val="center"/>
            <w:hideMark/>
          </w:tcPr>
          <w:p w14:paraId="486E1A1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Personnel Costs</w:t>
            </w:r>
          </w:p>
        </w:tc>
        <w:tc>
          <w:tcPr>
            <w:tcW w:w="0" w:type="auto"/>
            <w:vAlign w:val="center"/>
            <w:hideMark/>
          </w:tcPr>
          <w:p w14:paraId="42EC00E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$187K</w:t>
            </w:r>
          </w:p>
        </w:tc>
        <w:tc>
          <w:tcPr>
            <w:tcW w:w="0" w:type="auto"/>
            <w:vAlign w:val="center"/>
            <w:hideMark/>
          </w:tcPr>
          <w:p w14:paraId="72EAA2B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$156K</w:t>
            </w:r>
          </w:p>
        </w:tc>
        <w:tc>
          <w:tcPr>
            <w:tcW w:w="0" w:type="auto"/>
            <w:vAlign w:val="center"/>
            <w:hideMark/>
          </w:tcPr>
          <w:p w14:paraId="2E71EED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+19.9%</w:t>
            </w:r>
          </w:p>
        </w:tc>
        <w:tc>
          <w:tcPr>
            <w:tcW w:w="0" w:type="auto"/>
            <w:vAlign w:val="center"/>
            <w:hideMark/>
          </w:tcPr>
          <w:p w14:paraId="63E3D71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8.1%</w:t>
            </w:r>
          </w:p>
        </w:tc>
      </w:tr>
      <w:tr w:rsidR="00371B20" w:rsidRPr="00371B20" w14:paraId="5420DFBC" w14:textId="77777777">
        <w:trPr>
          <w:tblCellSpacing w:w="15" w:type="dxa"/>
        </w:trPr>
        <w:tc>
          <w:tcPr>
            <w:tcW w:w="0" w:type="auto"/>
            <w:vAlign w:val="center"/>
            <w:hideMark/>
          </w:tcPr>
          <w:p w14:paraId="0B0EC5E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Third-party Services</w:t>
            </w:r>
          </w:p>
        </w:tc>
        <w:tc>
          <w:tcPr>
            <w:tcW w:w="0" w:type="auto"/>
            <w:vAlign w:val="center"/>
            <w:hideMark/>
          </w:tcPr>
          <w:p w14:paraId="50CB94C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$89K</w:t>
            </w:r>
          </w:p>
        </w:tc>
        <w:tc>
          <w:tcPr>
            <w:tcW w:w="0" w:type="auto"/>
            <w:vAlign w:val="center"/>
            <w:hideMark/>
          </w:tcPr>
          <w:p w14:paraId="2D183A7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$78K</w:t>
            </w:r>
          </w:p>
        </w:tc>
        <w:tc>
          <w:tcPr>
            <w:tcW w:w="0" w:type="auto"/>
            <w:vAlign w:val="center"/>
            <w:hideMark/>
          </w:tcPr>
          <w:p w14:paraId="1586BCD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+14.1%</w:t>
            </w:r>
          </w:p>
        </w:tc>
        <w:tc>
          <w:tcPr>
            <w:tcW w:w="0" w:type="auto"/>
            <w:vAlign w:val="center"/>
            <w:hideMark/>
          </w:tcPr>
          <w:p w14:paraId="6D07825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3.9%</w:t>
            </w:r>
          </w:p>
        </w:tc>
      </w:tr>
      <w:tr w:rsidR="00371B20" w:rsidRPr="00371B20" w14:paraId="4C4AD8F6" w14:textId="77777777">
        <w:trPr>
          <w:tblCellSpacing w:w="15" w:type="dxa"/>
        </w:trPr>
        <w:tc>
          <w:tcPr>
            <w:tcW w:w="0" w:type="auto"/>
            <w:vAlign w:val="center"/>
            <w:hideMark/>
          </w:tcPr>
          <w:p w14:paraId="0C3400B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Cost of Revenue</w:t>
            </w:r>
          </w:p>
        </w:tc>
        <w:tc>
          <w:tcPr>
            <w:tcW w:w="0" w:type="auto"/>
            <w:vAlign w:val="center"/>
            <w:hideMark/>
          </w:tcPr>
          <w:p w14:paraId="420D63D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$588K</w:t>
            </w:r>
          </w:p>
        </w:tc>
        <w:tc>
          <w:tcPr>
            <w:tcW w:w="0" w:type="auto"/>
            <w:vAlign w:val="center"/>
            <w:hideMark/>
          </w:tcPr>
          <w:p w14:paraId="16BD3C9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$479K</w:t>
            </w:r>
          </w:p>
        </w:tc>
        <w:tc>
          <w:tcPr>
            <w:tcW w:w="0" w:type="auto"/>
            <w:vAlign w:val="center"/>
            <w:hideMark/>
          </w:tcPr>
          <w:p w14:paraId="74CAAA9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+22.8%</w:t>
            </w:r>
          </w:p>
        </w:tc>
        <w:tc>
          <w:tcPr>
            <w:tcW w:w="0" w:type="auto"/>
            <w:vAlign w:val="center"/>
            <w:hideMark/>
          </w:tcPr>
          <w:p w14:paraId="1DFE9FF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25.5%</w:t>
            </w:r>
          </w:p>
        </w:tc>
      </w:tr>
    </w:tbl>
    <w:p w14:paraId="6E722B3C"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Operating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907"/>
        <w:gridCol w:w="907"/>
        <w:gridCol w:w="857"/>
        <w:gridCol w:w="1515"/>
      </w:tblGrid>
      <w:tr w:rsidR="00371B20" w:rsidRPr="00371B20" w14:paraId="0932C39C" w14:textId="77777777">
        <w:trPr>
          <w:tblHeader/>
          <w:tblCellSpacing w:w="15" w:type="dxa"/>
        </w:trPr>
        <w:tc>
          <w:tcPr>
            <w:tcW w:w="0" w:type="auto"/>
            <w:vAlign w:val="center"/>
            <w:hideMark/>
          </w:tcPr>
          <w:p w14:paraId="2CF17CC8"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Expense Category</w:t>
            </w:r>
          </w:p>
        </w:tc>
        <w:tc>
          <w:tcPr>
            <w:tcW w:w="0" w:type="auto"/>
            <w:vAlign w:val="center"/>
            <w:hideMark/>
          </w:tcPr>
          <w:p w14:paraId="474CD25B"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2024</w:t>
            </w:r>
          </w:p>
        </w:tc>
        <w:tc>
          <w:tcPr>
            <w:tcW w:w="0" w:type="auto"/>
            <w:vAlign w:val="center"/>
            <w:hideMark/>
          </w:tcPr>
          <w:p w14:paraId="692ED4C2"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2023</w:t>
            </w:r>
          </w:p>
        </w:tc>
        <w:tc>
          <w:tcPr>
            <w:tcW w:w="0" w:type="auto"/>
            <w:vAlign w:val="center"/>
            <w:hideMark/>
          </w:tcPr>
          <w:p w14:paraId="44A4FF4D"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Change</w:t>
            </w:r>
          </w:p>
        </w:tc>
        <w:tc>
          <w:tcPr>
            <w:tcW w:w="0" w:type="auto"/>
            <w:vAlign w:val="center"/>
            <w:hideMark/>
          </w:tcPr>
          <w:p w14:paraId="08E30B3C"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 of Revenue</w:t>
            </w:r>
          </w:p>
        </w:tc>
      </w:tr>
      <w:tr w:rsidR="00371B20" w:rsidRPr="00371B20" w14:paraId="19D997F5" w14:textId="77777777">
        <w:trPr>
          <w:tblCellSpacing w:w="15" w:type="dxa"/>
        </w:trPr>
        <w:tc>
          <w:tcPr>
            <w:tcW w:w="0" w:type="auto"/>
            <w:vAlign w:val="center"/>
            <w:hideMark/>
          </w:tcPr>
          <w:p w14:paraId="7B86DDB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Sales &amp; Marketing</w:t>
            </w:r>
          </w:p>
        </w:tc>
        <w:tc>
          <w:tcPr>
            <w:tcW w:w="0" w:type="auto"/>
            <w:vAlign w:val="center"/>
            <w:hideMark/>
          </w:tcPr>
          <w:p w14:paraId="7FF5599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$456K</w:t>
            </w:r>
          </w:p>
        </w:tc>
        <w:tc>
          <w:tcPr>
            <w:tcW w:w="0" w:type="auto"/>
            <w:vAlign w:val="center"/>
            <w:hideMark/>
          </w:tcPr>
          <w:p w14:paraId="027C315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$398K</w:t>
            </w:r>
          </w:p>
        </w:tc>
        <w:tc>
          <w:tcPr>
            <w:tcW w:w="0" w:type="auto"/>
            <w:vAlign w:val="center"/>
            <w:hideMark/>
          </w:tcPr>
          <w:p w14:paraId="717E4EF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+14.6%</w:t>
            </w:r>
          </w:p>
        </w:tc>
        <w:tc>
          <w:tcPr>
            <w:tcW w:w="0" w:type="auto"/>
            <w:vAlign w:val="center"/>
            <w:hideMark/>
          </w:tcPr>
          <w:p w14:paraId="15A94570"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19.8%</w:t>
            </w:r>
          </w:p>
        </w:tc>
      </w:tr>
      <w:tr w:rsidR="00371B20" w:rsidRPr="00371B20" w14:paraId="7F44E775" w14:textId="77777777">
        <w:trPr>
          <w:tblCellSpacing w:w="15" w:type="dxa"/>
        </w:trPr>
        <w:tc>
          <w:tcPr>
            <w:tcW w:w="0" w:type="auto"/>
            <w:vAlign w:val="center"/>
            <w:hideMark/>
          </w:tcPr>
          <w:p w14:paraId="4BA7434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Research &amp; Development</w:t>
            </w:r>
          </w:p>
        </w:tc>
        <w:tc>
          <w:tcPr>
            <w:tcW w:w="0" w:type="auto"/>
            <w:vAlign w:val="center"/>
            <w:hideMark/>
          </w:tcPr>
          <w:p w14:paraId="6ACDF51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$387K</w:t>
            </w:r>
          </w:p>
        </w:tc>
        <w:tc>
          <w:tcPr>
            <w:tcW w:w="0" w:type="auto"/>
            <w:vAlign w:val="center"/>
            <w:hideMark/>
          </w:tcPr>
          <w:p w14:paraId="7A40EA9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$312K</w:t>
            </w:r>
          </w:p>
        </w:tc>
        <w:tc>
          <w:tcPr>
            <w:tcW w:w="0" w:type="auto"/>
            <w:vAlign w:val="center"/>
            <w:hideMark/>
          </w:tcPr>
          <w:p w14:paraId="27759920"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+24.0%</w:t>
            </w:r>
          </w:p>
        </w:tc>
        <w:tc>
          <w:tcPr>
            <w:tcW w:w="0" w:type="auto"/>
            <w:vAlign w:val="center"/>
            <w:hideMark/>
          </w:tcPr>
          <w:p w14:paraId="65801F7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16.8%</w:t>
            </w:r>
          </w:p>
        </w:tc>
      </w:tr>
      <w:tr w:rsidR="00371B20" w:rsidRPr="00371B20" w14:paraId="02983D18" w14:textId="77777777">
        <w:trPr>
          <w:tblCellSpacing w:w="15" w:type="dxa"/>
        </w:trPr>
        <w:tc>
          <w:tcPr>
            <w:tcW w:w="0" w:type="auto"/>
            <w:vAlign w:val="center"/>
            <w:hideMark/>
          </w:tcPr>
          <w:p w14:paraId="117066A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General &amp; Administrative</w:t>
            </w:r>
          </w:p>
        </w:tc>
        <w:tc>
          <w:tcPr>
            <w:tcW w:w="0" w:type="auto"/>
            <w:vAlign w:val="center"/>
            <w:hideMark/>
          </w:tcPr>
          <w:p w14:paraId="201F8F0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$278K</w:t>
            </w:r>
          </w:p>
        </w:tc>
        <w:tc>
          <w:tcPr>
            <w:tcW w:w="0" w:type="auto"/>
            <w:vAlign w:val="center"/>
            <w:hideMark/>
          </w:tcPr>
          <w:p w14:paraId="75BDEDE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$254K</w:t>
            </w:r>
          </w:p>
        </w:tc>
        <w:tc>
          <w:tcPr>
            <w:tcW w:w="0" w:type="auto"/>
            <w:vAlign w:val="center"/>
            <w:hideMark/>
          </w:tcPr>
          <w:p w14:paraId="125BCCB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+9.4%</w:t>
            </w:r>
          </w:p>
        </w:tc>
        <w:tc>
          <w:tcPr>
            <w:tcW w:w="0" w:type="auto"/>
            <w:vAlign w:val="center"/>
            <w:hideMark/>
          </w:tcPr>
          <w:p w14:paraId="66CA868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12.1%</w:t>
            </w:r>
          </w:p>
        </w:tc>
      </w:tr>
      <w:tr w:rsidR="00371B20" w:rsidRPr="00371B20" w14:paraId="301F1A7C" w14:textId="77777777">
        <w:trPr>
          <w:tblCellSpacing w:w="15" w:type="dxa"/>
        </w:trPr>
        <w:tc>
          <w:tcPr>
            <w:tcW w:w="0" w:type="auto"/>
            <w:vAlign w:val="center"/>
            <w:hideMark/>
          </w:tcPr>
          <w:p w14:paraId="256C76D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Operating Expenses</w:t>
            </w:r>
          </w:p>
        </w:tc>
        <w:tc>
          <w:tcPr>
            <w:tcW w:w="0" w:type="auto"/>
            <w:vAlign w:val="center"/>
            <w:hideMark/>
          </w:tcPr>
          <w:p w14:paraId="4D180DF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$1,121K</w:t>
            </w:r>
          </w:p>
        </w:tc>
        <w:tc>
          <w:tcPr>
            <w:tcW w:w="0" w:type="auto"/>
            <w:vAlign w:val="center"/>
            <w:hideMark/>
          </w:tcPr>
          <w:p w14:paraId="2EDDABB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$964K</w:t>
            </w:r>
          </w:p>
        </w:tc>
        <w:tc>
          <w:tcPr>
            <w:tcW w:w="0" w:type="auto"/>
            <w:vAlign w:val="center"/>
            <w:hideMark/>
          </w:tcPr>
          <w:p w14:paraId="0911F25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+16.3%</w:t>
            </w:r>
          </w:p>
        </w:tc>
        <w:tc>
          <w:tcPr>
            <w:tcW w:w="0" w:type="auto"/>
            <w:vAlign w:val="center"/>
            <w:hideMark/>
          </w:tcPr>
          <w:p w14:paraId="108A991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48.7%</w:t>
            </w:r>
          </w:p>
        </w:tc>
      </w:tr>
    </w:tbl>
    <w:p w14:paraId="3447E3CF"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Profitability Analysis</w:t>
      </w:r>
    </w:p>
    <w:p w14:paraId="44FB5118"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Margin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907"/>
        <w:gridCol w:w="907"/>
        <w:gridCol w:w="1475"/>
      </w:tblGrid>
      <w:tr w:rsidR="00371B20" w:rsidRPr="00371B20" w14:paraId="15EF3555" w14:textId="77777777">
        <w:trPr>
          <w:tblHeader/>
          <w:tblCellSpacing w:w="15" w:type="dxa"/>
        </w:trPr>
        <w:tc>
          <w:tcPr>
            <w:tcW w:w="0" w:type="auto"/>
            <w:vAlign w:val="center"/>
            <w:hideMark/>
          </w:tcPr>
          <w:p w14:paraId="7862D7D6"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Metric</w:t>
            </w:r>
          </w:p>
        </w:tc>
        <w:tc>
          <w:tcPr>
            <w:tcW w:w="0" w:type="auto"/>
            <w:vAlign w:val="center"/>
            <w:hideMark/>
          </w:tcPr>
          <w:p w14:paraId="02FF2FF2"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2024</w:t>
            </w:r>
          </w:p>
        </w:tc>
        <w:tc>
          <w:tcPr>
            <w:tcW w:w="0" w:type="auto"/>
            <w:vAlign w:val="center"/>
            <w:hideMark/>
          </w:tcPr>
          <w:p w14:paraId="12DF0C7E"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2023</w:t>
            </w:r>
          </w:p>
        </w:tc>
        <w:tc>
          <w:tcPr>
            <w:tcW w:w="0" w:type="auto"/>
            <w:vAlign w:val="center"/>
            <w:hideMark/>
          </w:tcPr>
          <w:p w14:paraId="11EEEC62"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Improvement</w:t>
            </w:r>
          </w:p>
        </w:tc>
      </w:tr>
      <w:tr w:rsidR="00371B20" w:rsidRPr="00371B20" w14:paraId="78CA09BB" w14:textId="77777777">
        <w:trPr>
          <w:tblCellSpacing w:w="15" w:type="dxa"/>
        </w:trPr>
        <w:tc>
          <w:tcPr>
            <w:tcW w:w="0" w:type="auto"/>
            <w:vAlign w:val="center"/>
            <w:hideMark/>
          </w:tcPr>
          <w:p w14:paraId="14DDCD8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Gross Margin</w:t>
            </w:r>
          </w:p>
        </w:tc>
        <w:tc>
          <w:tcPr>
            <w:tcW w:w="0" w:type="auto"/>
            <w:vAlign w:val="center"/>
            <w:hideMark/>
          </w:tcPr>
          <w:p w14:paraId="1C22911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75.2%</w:t>
            </w:r>
          </w:p>
        </w:tc>
        <w:tc>
          <w:tcPr>
            <w:tcW w:w="0" w:type="auto"/>
            <w:vAlign w:val="center"/>
            <w:hideMark/>
          </w:tcPr>
          <w:p w14:paraId="7525833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73.4%</w:t>
            </w:r>
          </w:p>
        </w:tc>
        <w:tc>
          <w:tcPr>
            <w:tcW w:w="0" w:type="auto"/>
            <w:vAlign w:val="center"/>
            <w:hideMark/>
          </w:tcPr>
          <w:p w14:paraId="3B27969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+1.8 pp</w:t>
            </w:r>
          </w:p>
        </w:tc>
      </w:tr>
      <w:tr w:rsidR="00371B20" w:rsidRPr="00371B20" w14:paraId="7EEFB2C0" w14:textId="77777777">
        <w:trPr>
          <w:tblCellSpacing w:w="15" w:type="dxa"/>
        </w:trPr>
        <w:tc>
          <w:tcPr>
            <w:tcW w:w="0" w:type="auto"/>
            <w:vAlign w:val="center"/>
            <w:hideMark/>
          </w:tcPr>
          <w:p w14:paraId="79E43F1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lastRenderedPageBreak/>
              <w:t>Operating Margin</w:t>
            </w:r>
          </w:p>
        </w:tc>
        <w:tc>
          <w:tcPr>
            <w:tcW w:w="0" w:type="auto"/>
            <w:vAlign w:val="center"/>
            <w:hideMark/>
          </w:tcPr>
          <w:p w14:paraId="4454843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13.6%</w:t>
            </w:r>
          </w:p>
        </w:tc>
        <w:tc>
          <w:tcPr>
            <w:tcW w:w="0" w:type="auto"/>
            <w:vAlign w:val="center"/>
            <w:hideMark/>
          </w:tcPr>
          <w:p w14:paraId="7960CA0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6.9%</w:t>
            </w:r>
          </w:p>
        </w:tc>
        <w:tc>
          <w:tcPr>
            <w:tcW w:w="0" w:type="auto"/>
            <w:vAlign w:val="center"/>
            <w:hideMark/>
          </w:tcPr>
          <w:p w14:paraId="11337A8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+6.7 pp</w:t>
            </w:r>
          </w:p>
        </w:tc>
      </w:tr>
      <w:tr w:rsidR="00371B20" w:rsidRPr="00371B20" w14:paraId="5CC8E125" w14:textId="77777777">
        <w:trPr>
          <w:tblCellSpacing w:w="15" w:type="dxa"/>
        </w:trPr>
        <w:tc>
          <w:tcPr>
            <w:tcW w:w="0" w:type="auto"/>
            <w:vAlign w:val="center"/>
            <w:hideMark/>
          </w:tcPr>
          <w:p w14:paraId="4CA974A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Net Margin</w:t>
            </w:r>
          </w:p>
        </w:tc>
        <w:tc>
          <w:tcPr>
            <w:tcW w:w="0" w:type="auto"/>
            <w:vAlign w:val="center"/>
            <w:hideMark/>
          </w:tcPr>
          <w:p w14:paraId="1BEDCD2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12.9%</w:t>
            </w:r>
          </w:p>
        </w:tc>
        <w:tc>
          <w:tcPr>
            <w:tcW w:w="0" w:type="auto"/>
            <w:vAlign w:val="center"/>
            <w:hideMark/>
          </w:tcPr>
          <w:p w14:paraId="0CE4A69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6.3%</w:t>
            </w:r>
          </w:p>
        </w:tc>
        <w:tc>
          <w:tcPr>
            <w:tcW w:w="0" w:type="auto"/>
            <w:vAlign w:val="center"/>
            <w:hideMark/>
          </w:tcPr>
          <w:p w14:paraId="3AD6C82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+6.6 pp</w:t>
            </w:r>
          </w:p>
        </w:tc>
      </w:tr>
      <w:tr w:rsidR="00371B20" w:rsidRPr="00371B20" w14:paraId="24E630C5" w14:textId="77777777">
        <w:trPr>
          <w:tblCellSpacing w:w="15" w:type="dxa"/>
        </w:trPr>
        <w:tc>
          <w:tcPr>
            <w:tcW w:w="0" w:type="auto"/>
            <w:vAlign w:val="center"/>
            <w:hideMark/>
          </w:tcPr>
          <w:p w14:paraId="2172410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EBITDA Margin</w:t>
            </w:r>
          </w:p>
        </w:tc>
        <w:tc>
          <w:tcPr>
            <w:tcW w:w="0" w:type="auto"/>
            <w:vAlign w:val="center"/>
            <w:hideMark/>
          </w:tcPr>
          <w:p w14:paraId="373480C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19.8%</w:t>
            </w:r>
          </w:p>
        </w:tc>
        <w:tc>
          <w:tcPr>
            <w:tcW w:w="0" w:type="auto"/>
            <w:vAlign w:val="center"/>
            <w:hideMark/>
          </w:tcPr>
          <w:p w14:paraId="743E369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13.5%</w:t>
            </w:r>
          </w:p>
        </w:tc>
        <w:tc>
          <w:tcPr>
            <w:tcW w:w="0" w:type="auto"/>
            <w:vAlign w:val="center"/>
            <w:hideMark/>
          </w:tcPr>
          <w:p w14:paraId="11C09A2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+6.3 pp</w:t>
            </w:r>
          </w:p>
        </w:tc>
      </w:tr>
    </w:tbl>
    <w:p w14:paraId="2DE9B94E"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Department-Level Profitability:</w:t>
      </w:r>
    </w:p>
    <w:p w14:paraId="7A76A09A" w14:textId="77777777" w:rsidR="00371B20" w:rsidRPr="00371B20" w:rsidRDefault="00371B20" w:rsidP="00371B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SaaS Platform: 82.1% gross margin</w:t>
      </w:r>
    </w:p>
    <w:p w14:paraId="33FC27C9" w14:textId="77777777" w:rsidR="00371B20" w:rsidRPr="00371B20" w:rsidRDefault="00371B20" w:rsidP="00371B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Consulting Services: 64.7% gross margin</w:t>
      </w:r>
    </w:p>
    <w:p w14:paraId="6B8F1CD0" w14:textId="77777777" w:rsidR="00371B20" w:rsidRPr="00371B20" w:rsidRDefault="00371B20" w:rsidP="00371B2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Support &amp; Training: 71.2% gross margin</w:t>
      </w:r>
    </w:p>
    <w:p w14:paraId="6C514CBF"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Cash Flow Analysis</w:t>
      </w:r>
    </w:p>
    <w:p w14:paraId="05FA3EE4"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Q3 2024 Cash Flow Summary:</w:t>
      </w:r>
    </w:p>
    <w:p w14:paraId="6C4B5BE9" w14:textId="77777777" w:rsidR="00371B20" w:rsidRPr="00371B20" w:rsidRDefault="00371B20" w:rsidP="00371B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Operating Cash Flow: $389K (↑98.7% YoY)</w:t>
      </w:r>
    </w:p>
    <w:p w14:paraId="2211E47F" w14:textId="77777777" w:rsidR="00371B20" w:rsidRPr="00371B20" w:rsidRDefault="00371B20" w:rsidP="00371B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Free Cash Flow: $312K (↑187% YoY)</w:t>
      </w:r>
    </w:p>
    <w:p w14:paraId="2377905D" w14:textId="77777777" w:rsidR="00371B20" w:rsidRPr="00371B20" w:rsidRDefault="00371B20" w:rsidP="00371B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Cash Conversion Cycle: 42 days (improved from 58 days in Q3 2023)</w:t>
      </w:r>
    </w:p>
    <w:p w14:paraId="3CEA0A6A" w14:textId="77777777" w:rsidR="00371B20" w:rsidRPr="00371B20" w:rsidRDefault="00371B20" w:rsidP="00371B2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Days Sales Outstanding (DSO): 34 days</w:t>
      </w:r>
    </w:p>
    <w:p w14:paraId="799E5B0C"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5DFE1D41">
          <v:rect id="_x0000_i1030" alt="" style="width:468pt;height:.05pt;mso-width-percent:0;mso-height-percent:0;mso-width-percent:0;mso-height-percent:0" o:hralign="center" o:hrstd="t" o:hr="t" fillcolor="#a0a0a0" stroked="f"/>
        </w:pict>
      </w:r>
    </w:p>
    <w:p w14:paraId="4B17D3B2"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MARKET ANALYSIS &amp; COMPETITIVE LANDSCAPE</w:t>
      </w:r>
    </w:p>
    <w:p w14:paraId="6C212290"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Industry Overview</w:t>
      </w:r>
    </w:p>
    <w:p w14:paraId="4E37D26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The financial technology sector continued its robust expansion in Q3 2024, with the global fintech market estimated at $332 billion, growing at a CAGR of 13.7%. Key market drivers include:</w:t>
      </w:r>
    </w:p>
    <w:p w14:paraId="4E90201F"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Growth Catalysts:</w:t>
      </w:r>
    </w:p>
    <w:p w14:paraId="0A2D2985" w14:textId="77777777" w:rsidR="00371B20" w:rsidRPr="00371B20" w:rsidRDefault="00371B20" w:rsidP="00371B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Accelerated digital transformation in financial services</w:t>
      </w:r>
    </w:p>
    <w:p w14:paraId="019E8825" w14:textId="77777777" w:rsidR="00371B20" w:rsidRPr="00371B20" w:rsidRDefault="00371B20" w:rsidP="00371B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Increasing regulatory compliance requirements</w:t>
      </w:r>
    </w:p>
    <w:p w14:paraId="39D9A917" w14:textId="77777777" w:rsidR="00371B20" w:rsidRPr="00371B20" w:rsidRDefault="00371B20" w:rsidP="00371B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Rising demand for real-time payment solutions</w:t>
      </w:r>
    </w:p>
    <w:p w14:paraId="6E38B34B" w14:textId="77777777" w:rsidR="00371B20" w:rsidRPr="00371B20" w:rsidRDefault="00371B20" w:rsidP="00371B2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Growing adoption of AI and machine learning in finance</w:t>
      </w:r>
    </w:p>
    <w:p w14:paraId="104324AF"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Market Trends Impacting Fina:</w:t>
      </w:r>
    </w:p>
    <w:p w14:paraId="7AE2F85B" w14:textId="77777777" w:rsidR="00371B20" w:rsidRPr="00371B20" w:rsidRDefault="00371B20" w:rsidP="00371B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Regulatory Technology (</w:t>
      </w:r>
      <w:proofErr w:type="spellStart"/>
      <w:r w:rsidRPr="00371B20">
        <w:rPr>
          <w:rFonts w:ascii="Times New Roman" w:eastAsia="Times New Roman" w:hAnsi="Times New Roman" w:cs="Times New Roman"/>
          <w:b/>
          <w:bCs/>
          <w:kern w:val="0"/>
          <w14:ligatures w14:val="none"/>
        </w:rPr>
        <w:t>RegTech</w:t>
      </w:r>
      <w:proofErr w:type="spellEnd"/>
      <w:r w:rsidRPr="00371B20">
        <w:rPr>
          <w:rFonts w:ascii="Times New Roman" w:eastAsia="Times New Roman" w:hAnsi="Times New Roman" w:cs="Times New Roman"/>
          <w:b/>
          <w:bCs/>
          <w:kern w:val="0"/>
          <w14:ligatures w14:val="none"/>
        </w:rPr>
        <w:t>):</w:t>
      </w:r>
      <w:r w:rsidRPr="00371B20">
        <w:rPr>
          <w:rFonts w:ascii="Times New Roman" w:eastAsia="Times New Roman" w:hAnsi="Times New Roman" w:cs="Times New Roman"/>
          <w:kern w:val="0"/>
          <w14:ligatures w14:val="none"/>
        </w:rPr>
        <w:t xml:space="preserve"> 23% market growth, driven by evolving compliance requirements</w:t>
      </w:r>
    </w:p>
    <w:p w14:paraId="705EB065" w14:textId="77777777" w:rsidR="00371B20" w:rsidRPr="00371B20" w:rsidRDefault="00371B20" w:rsidP="00371B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Banking-as-a-Service (BaaS):</w:t>
      </w:r>
      <w:r w:rsidRPr="00371B20">
        <w:rPr>
          <w:rFonts w:ascii="Times New Roman" w:eastAsia="Times New Roman" w:hAnsi="Times New Roman" w:cs="Times New Roman"/>
          <w:kern w:val="0"/>
          <w14:ligatures w14:val="none"/>
        </w:rPr>
        <w:t xml:space="preserve"> $18.6B market size, our primary addressable market</w:t>
      </w:r>
    </w:p>
    <w:p w14:paraId="7BA1FDC3" w14:textId="77777777" w:rsidR="00371B20" w:rsidRPr="00371B20" w:rsidRDefault="00371B20" w:rsidP="00371B2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API-First Banking:</w:t>
      </w:r>
      <w:r w:rsidRPr="00371B20">
        <w:rPr>
          <w:rFonts w:ascii="Times New Roman" w:eastAsia="Times New Roman" w:hAnsi="Times New Roman" w:cs="Times New Roman"/>
          <w:kern w:val="0"/>
          <w14:ligatures w14:val="none"/>
        </w:rPr>
        <w:t xml:space="preserve"> 67% of financial institutions prioritizing API integrations</w:t>
      </w:r>
    </w:p>
    <w:p w14:paraId="10911169"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lastRenderedPageBreak/>
        <w:t>Competitive Position</w:t>
      </w:r>
    </w:p>
    <w:p w14:paraId="2855AE74"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Market Share Analysis:</w:t>
      </w:r>
    </w:p>
    <w:p w14:paraId="7A1272A7" w14:textId="77777777" w:rsidR="00371B20" w:rsidRPr="00371B20" w:rsidRDefault="00371B20" w:rsidP="00371B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Total Addressable Market (TAM): $4.2B</w:t>
      </w:r>
    </w:p>
    <w:p w14:paraId="30C55AB1" w14:textId="77777777" w:rsidR="00371B20" w:rsidRPr="00371B20" w:rsidRDefault="00371B20" w:rsidP="00371B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Serviceable Addressable Market (SAM): $890M</w:t>
      </w:r>
    </w:p>
    <w:p w14:paraId="1E35130B" w14:textId="77777777" w:rsidR="00371B20" w:rsidRPr="00371B20" w:rsidRDefault="00371B20" w:rsidP="00371B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Current market penetration: 0.9%</w:t>
      </w:r>
    </w:p>
    <w:p w14:paraId="75283F32" w14:textId="77777777" w:rsidR="00371B20" w:rsidRPr="00371B20" w:rsidRDefault="00371B20" w:rsidP="00371B2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Target market penetration by 2025: 2.1%</w:t>
      </w:r>
    </w:p>
    <w:p w14:paraId="240D55D4"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Competitive Advantages:</w:t>
      </w:r>
    </w:p>
    <w:p w14:paraId="2EA278D0" w14:textId="77777777" w:rsidR="00371B20" w:rsidRPr="00371B20" w:rsidRDefault="00371B20" w:rsidP="00371B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Superior client onboarding time: 3.2 weeks vs. industry average of 8.1 weeks</w:t>
      </w:r>
    </w:p>
    <w:p w14:paraId="2A019264" w14:textId="77777777" w:rsidR="00371B20" w:rsidRPr="00371B20" w:rsidRDefault="00371B20" w:rsidP="00371B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99.97% platform uptime (industry leading)</w:t>
      </w:r>
    </w:p>
    <w:p w14:paraId="1959BD1A" w14:textId="77777777" w:rsidR="00371B20" w:rsidRPr="00371B20" w:rsidRDefault="00371B20" w:rsidP="00371B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Comprehensive compliance automation suite</w:t>
      </w:r>
    </w:p>
    <w:p w14:paraId="22B85FD2" w14:textId="77777777" w:rsidR="00371B20" w:rsidRPr="00371B20" w:rsidRDefault="00371B20" w:rsidP="00371B2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Strong regional bank relationships (73% of clients are community/regional banks)</w:t>
      </w:r>
    </w:p>
    <w:p w14:paraId="1640B8CF"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Customer Segmentation Performance</w:t>
      </w:r>
    </w:p>
    <w:p w14:paraId="4BFE958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By Institution Size (Q3 2024 Revenue):</w:t>
      </w:r>
    </w:p>
    <w:p w14:paraId="00BBE61E" w14:textId="77777777" w:rsidR="00371B20" w:rsidRPr="00371B20" w:rsidRDefault="00371B20" w:rsidP="00371B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Regional Banks ($10B-$50B assets): $1.24M (53.9% of revenue)</w:t>
      </w:r>
    </w:p>
    <w:p w14:paraId="4377C099" w14:textId="77777777" w:rsidR="00371B20" w:rsidRPr="00371B20" w:rsidRDefault="00371B20" w:rsidP="00371B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Community Banks (&lt;$10B assets): $687K (29.8% of revenue)</w:t>
      </w:r>
    </w:p>
    <w:p w14:paraId="64249428" w14:textId="77777777" w:rsidR="00371B20" w:rsidRPr="00371B20" w:rsidRDefault="00371B20" w:rsidP="00371B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Credit Unions: $276K (12.0% of revenue)</w:t>
      </w:r>
    </w:p>
    <w:p w14:paraId="6A54C162" w14:textId="77777777" w:rsidR="00371B20" w:rsidRPr="00371B20" w:rsidRDefault="00371B20" w:rsidP="00371B2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Fintech Companies: $99K (4.3% of revenue)</w:t>
      </w:r>
    </w:p>
    <w:p w14:paraId="508BBA4C"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Geographic Distribution:</w:t>
      </w:r>
    </w:p>
    <w:p w14:paraId="1B76CC74" w14:textId="77777777" w:rsidR="00371B20" w:rsidRPr="00371B20" w:rsidRDefault="00371B20" w:rsidP="00371B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Southeast Region: 42% of revenue</w:t>
      </w:r>
    </w:p>
    <w:p w14:paraId="378E45A0" w14:textId="77777777" w:rsidR="00371B20" w:rsidRPr="00371B20" w:rsidRDefault="00371B20" w:rsidP="00371B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Midwest Region: 28% of revenue</w:t>
      </w:r>
    </w:p>
    <w:p w14:paraId="6811C98A" w14:textId="77777777" w:rsidR="00371B20" w:rsidRPr="00371B20" w:rsidRDefault="00371B20" w:rsidP="00371B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Southwest Region: 19% of revenue</w:t>
      </w:r>
    </w:p>
    <w:p w14:paraId="0D6D98BD" w14:textId="77777777" w:rsidR="00371B20" w:rsidRPr="00371B20" w:rsidRDefault="00371B20" w:rsidP="00371B2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Northeast Region: 11% of revenue</w:t>
      </w:r>
    </w:p>
    <w:p w14:paraId="408949D3"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78B52F82">
          <v:rect id="_x0000_i1029" alt="" style="width:468pt;height:.05pt;mso-width-percent:0;mso-height-percent:0;mso-width-percent:0;mso-height-percent:0" o:hralign="center" o:hrstd="t" o:hr="t" fillcolor="#a0a0a0" stroked="f"/>
        </w:pict>
      </w:r>
    </w:p>
    <w:p w14:paraId="6DE20236"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FUTURE PROJECTIONS &amp; FORECASTS</w:t>
      </w:r>
    </w:p>
    <w:p w14:paraId="127BB44D"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Q4 2024 Outlook</w:t>
      </w:r>
    </w:p>
    <w:p w14:paraId="2EC0A9FE"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Revenue Projections:</w:t>
      </w:r>
    </w:p>
    <w:p w14:paraId="30463BB5" w14:textId="77777777" w:rsidR="00371B20" w:rsidRPr="00371B20" w:rsidRDefault="00371B20" w:rsidP="00371B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Q4 2024 Target Revenue: $2.48M (↑7.7% QoQ, ↑24.1% YoY)</w:t>
      </w:r>
    </w:p>
    <w:p w14:paraId="116D5EB5" w14:textId="77777777" w:rsidR="00371B20" w:rsidRPr="00371B20" w:rsidRDefault="00371B20" w:rsidP="00371B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Expected new client acquisitions: 38-42</w:t>
      </w:r>
    </w:p>
    <w:p w14:paraId="2BD6F1F7" w14:textId="77777777" w:rsidR="00371B20" w:rsidRPr="00371B20" w:rsidRDefault="00371B20" w:rsidP="00371B2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Projected MRR at year-end: $745K</w:t>
      </w:r>
    </w:p>
    <w:p w14:paraId="700D4AA6"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Full Year 2024 Forecast:</w:t>
      </w:r>
    </w:p>
    <w:p w14:paraId="48F5ABCE" w14:textId="77777777" w:rsidR="00371B20" w:rsidRPr="00371B20" w:rsidRDefault="00371B20" w:rsidP="00371B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lastRenderedPageBreak/>
        <w:t>Annual Revenue Target: $9.37M (↑25.8% from 2023)</w:t>
      </w:r>
    </w:p>
    <w:p w14:paraId="13CCCE16" w14:textId="77777777" w:rsidR="00371B20" w:rsidRPr="00371B20" w:rsidRDefault="00371B20" w:rsidP="00371B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Annual Recurring Revenue: $8.94M</w:t>
      </w:r>
    </w:p>
    <w:p w14:paraId="330AEA13" w14:textId="77777777" w:rsidR="00371B20" w:rsidRPr="00371B20" w:rsidRDefault="00371B20" w:rsidP="00371B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Target Operating Margin: 14.2%</w:t>
      </w:r>
    </w:p>
    <w:p w14:paraId="44C2AAB3" w14:textId="77777777" w:rsidR="00371B20" w:rsidRPr="00371B20" w:rsidRDefault="00371B20" w:rsidP="00371B2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Projected Net Income: $1.18M</w:t>
      </w:r>
    </w:p>
    <w:p w14:paraId="7B1B8006"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2025 Strategic Projections</w:t>
      </w:r>
    </w:p>
    <w:p w14:paraId="690B4EB4"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Revenue Growth Targets:</w:t>
      </w:r>
    </w:p>
    <w:p w14:paraId="71D73836" w14:textId="77777777" w:rsidR="00371B20" w:rsidRPr="00371B20" w:rsidRDefault="00371B20" w:rsidP="00371B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2025 Revenue Target: $12.8M (↑36.6% from 2024 forecast)</w:t>
      </w:r>
    </w:p>
    <w:p w14:paraId="6894743D" w14:textId="77777777" w:rsidR="00371B20" w:rsidRPr="00371B20" w:rsidRDefault="00371B20" w:rsidP="00371B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New product line launch expected to contribute $1.2M ARR</w:t>
      </w:r>
    </w:p>
    <w:p w14:paraId="223C3555" w14:textId="77777777" w:rsidR="00371B20" w:rsidRPr="00371B20" w:rsidRDefault="00371B20" w:rsidP="00371B2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Geographic expansion into West Coast markets</w:t>
      </w:r>
    </w:p>
    <w:p w14:paraId="7AD6CA4D"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Investment Priorities:</w:t>
      </w:r>
    </w:p>
    <w:p w14:paraId="1D1BF6AB" w14:textId="77777777" w:rsidR="00371B20" w:rsidRPr="00371B20" w:rsidRDefault="00371B20" w:rsidP="00371B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Product Development:</w:t>
      </w:r>
      <w:r w:rsidRPr="00371B20">
        <w:rPr>
          <w:rFonts w:ascii="Times New Roman" w:eastAsia="Times New Roman" w:hAnsi="Times New Roman" w:cs="Times New Roman"/>
          <w:kern w:val="0"/>
          <w14:ligatures w14:val="none"/>
        </w:rPr>
        <w:t xml:space="preserve"> $2.1M investment in AI-powered risk analytics</w:t>
      </w:r>
    </w:p>
    <w:p w14:paraId="54D2B9FD" w14:textId="77777777" w:rsidR="00371B20" w:rsidRPr="00371B20" w:rsidRDefault="00371B20" w:rsidP="00371B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Sales Expansion:</w:t>
      </w:r>
      <w:r w:rsidRPr="00371B20">
        <w:rPr>
          <w:rFonts w:ascii="Times New Roman" w:eastAsia="Times New Roman" w:hAnsi="Times New Roman" w:cs="Times New Roman"/>
          <w:kern w:val="0"/>
          <w14:ligatures w14:val="none"/>
        </w:rPr>
        <w:t xml:space="preserve"> Hire 8 additional sales professionals</w:t>
      </w:r>
    </w:p>
    <w:p w14:paraId="3335FDC5" w14:textId="77777777" w:rsidR="00371B20" w:rsidRPr="00371B20" w:rsidRDefault="00371B20" w:rsidP="00371B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Infrastructure:</w:t>
      </w:r>
      <w:r w:rsidRPr="00371B20">
        <w:rPr>
          <w:rFonts w:ascii="Times New Roman" w:eastAsia="Times New Roman" w:hAnsi="Times New Roman" w:cs="Times New Roman"/>
          <w:kern w:val="0"/>
          <w14:ligatures w14:val="none"/>
        </w:rPr>
        <w:t xml:space="preserve"> Enhanced security and compliance capabilities</w:t>
      </w:r>
    </w:p>
    <w:p w14:paraId="395546C2" w14:textId="77777777" w:rsidR="00371B20" w:rsidRPr="00371B20" w:rsidRDefault="00371B20" w:rsidP="00371B2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Strategic Partnerships:</w:t>
      </w:r>
      <w:r w:rsidRPr="00371B20">
        <w:rPr>
          <w:rFonts w:ascii="Times New Roman" w:eastAsia="Times New Roman" w:hAnsi="Times New Roman" w:cs="Times New Roman"/>
          <w:kern w:val="0"/>
          <w14:ligatures w14:val="none"/>
        </w:rPr>
        <w:t xml:space="preserve"> Integration partnerships with 3 major core banking providers</w:t>
      </w:r>
    </w:p>
    <w:p w14:paraId="1788524D"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Key Performance Indicators - Targets</w:t>
      </w:r>
    </w:p>
    <w:p w14:paraId="63CA14EF"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2025 KPI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1647"/>
        <w:gridCol w:w="1294"/>
        <w:gridCol w:w="1895"/>
      </w:tblGrid>
      <w:tr w:rsidR="00371B20" w:rsidRPr="00371B20" w14:paraId="47EE59B4" w14:textId="77777777">
        <w:trPr>
          <w:tblHeader/>
          <w:tblCellSpacing w:w="15" w:type="dxa"/>
        </w:trPr>
        <w:tc>
          <w:tcPr>
            <w:tcW w:w="0" w:type="auto"/>
            <w:vAlign w:val="center"/>
            <w:hideMark/>
          </w:tcPr>
          <w:p w14:paraId="5A92012B"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Metric</w:t>
            </w:r>
          </w:p>
        </w:tc>
        <w:tc>
          <w:tcPr>
            <w:tcW w:w="0" w:type="auto"/>
            <w:vAlign w:val="center"/>
            <w:hideMark/>
          </w:tcPr>
          <w:p w14:paraId="2E43C17D"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2024 Actual</w:t>
            </w:r>
          </w:p>
        </w:tc>
        <w:tc>
          <w:tcPr>
            <w:tcW w:w="0" w:type="auto"/>
            <w:vAlign w:val="center"/>
            <w:hideMark/>
          </w:tcPr>
          <w:p w14:paraId="78629D57"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2025 Target</w:t>
            </w:r>
          </w:p>
        </w:tc>
        <w:tc>
          <w:tcPr>
            <w:tcW w:w="0" w:type="auto"/>
            <w:vAlign w:val="center"/>
            <w:hideMark/>
          </w:tcPr>
          <w:p w14:paraId="7A3B1700"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Growth Required</w:t>
            </w:r>
          </w:p>
        </w:tc>
      </w:tr>
      <w:tr w:rsidR="00371B20" w:rsidRPr="00371B20" w14:paraId="0FFC3164" w14:textId="77777777">
        <w:trPr>
          <w:tblCellSpacing w:w="15" w:type="dxa"/>
        </w:trPr>
        <w:tc>
          <w:tcPr>
            <w:tcW w:w="0" w:type="auto"/>
            <w:vAlign w:val="center"/>
            <w:hideMark/>
          </w:tcPr>
          <w:p w14:paraId="1DF42E3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Monthly Recurring Revenue</w:t>
            </w:r>
          </w:p>
        </w:tc>
        <w:tc>
          <w:tcPr>
            <w:tcW w:w="0" w:type="auto"/>
            <w:vAlign w:val="center"/>
            <w:hideMark/>
          </w:tcPr>
          <w:p w14:paraId="3B9E26C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$687K</w:t>
            </w:r>
          </w:p>
        </w:tc>
        <w:tc>
          <w:tcPr>
            <w:tcW w:w="0" w:type="auto"/>
            <w:vAlign w:val="center"/>
            <w:hideMark/>
          </w:tcPr>
          <w:p w14:paraId="3D41C97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$1,067K</w:t>
            </w:r>
          </w:p>
        </w:tc>
        <w:tc>
          <w:tcPr>
            <w:tcW w:w="0" w:type="auto"/>
            <w:vAlign w:val="center"/>
            <w:hideMark/>
          </w:tcPr>
          <w:p w14:paraId="1FDA2CF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+55.3%</w:t>
            </w:r>
          </w:p>
        </w:tc>
      </w:tr>
      <w:tr w:rsidR="00371B20" w:rsidRPr="00371B20" w14:paraId="04B1E785" w14:textId="77777777">
        <w:trPr>
          <w:tblCellSpacing w:w="15" w:type="dxa"/>
        </w:trPr>
        <w:tc>
          <w:tcPr>
            <w:tcW w:w="0" w:type="auto"/>
            <w:vAlign w:val="center"/>
            <w:hideMark/>
          </w:tcPr>
          <w:p w14:paraId="58FF702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Customer Count</w:t>
            </w:r>
          </w:p>
        </w:tc>
        <w:tc>
          <w:tcPr>
            <w:tcW w:w="0" w:type="auto"/>
            <w:vAlign w:val="center"/>
            <w:hideMark/>
          </w:tcPr>
          <w:p w14:paraId="5A7DF25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287</w:t>
            </w:r>
          </w:p>
        </w:tc>
        <w:tc>
          <w:tcPr>
            <w:tcW w:w="0" w:type="auto"/>
            <w:vAlign w:val="center"/>
            <w:hideMark/>
          </w:tcPr>
          <w:p w14:paraId="2CC7B91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425</w:t>
            </w:r>
          </w:p>
        </w:tc>
        <w:tc>
          <w:tcPr>
            <w:tcW w:w="0" w:type="auto"/>
            <w:vAlign w:val="center"/>
            <w:hideMark/>
          </w:tcPr>
          <w:p w14:paraId="0514A95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+48.1%</w:t>
            </w:r>
          </w:p>
        </w:tc>
      </w:tr>
      <w:tr w:rsidR="00371B20" w:rsidRPr="00371B20" w14:paraId="7E3898EA" w14:textId="77777777">
        <w:trPr>
          <w:tblCellSpacing w:w="15" w:type="dxa"/>
        </w:trPr>
        <w:tc>
          <w:tcPr>
            <w:tcW w:w="0" w:type="auto"/>
            <w:vAlign w:val="center"/>
            <w:hideMark/>
          </w:tcPr>
          <w:p w14:paraId="380B9C8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Average Revenue Per User</w:t>
            </w:r>
          </w:p>
        </w:tc>
        <w:tc>
          <w:tcPr>
            <w:tcW w:w="0" w:type="auto"/>
            <w:vAlign w:val="center"/>
            <w:hideMark/>
          </w:tcPr>
          <w:p w14:paraId="3080BE4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$31.2K</w:t>
            </w:r>
          </w:p>
        </w:tc>
        <w:tc>
          <w:tcPr>
            <w:tcW w:w="0" w:type="auto"/>
            <w:vAlign w:val="center"/>
            <w:hideMark/>
          </w:tcPr>
          <w:p w14:paraId="560FD44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$37.8K</w:t>
            </w:r>
          </w:p>
        </w:tc>
        <w:tc>
          <w:tcPr>
            <w:tcW w:w="0" w:type="auto"/>
            <w:vAlign w:val="center"/>
            <w:hideMark/>
          </w:tcPr>
          <w:p w14:paraId="38505E2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+21.2%</w:t>
            </w:r>
          </w:p>
        </w:tc>
      </w:tr>
      <w:tr w:rsidR="00371B20" w:rsidRPr="00371B20" w14:paraId="29A157B6" w14:textId="77777777">
        <w:trPr>
          <w:tblCellSpacing w:w="15" w:type="dxa"/>
        </w:trPr>
        <w:tc>
          <w:tcPr>
            <w:tcW w:w="0" w:type="auto"/>
            <w:vAlign w:val="center"/>
            <w:hideMark/>
          </w:tcPr>
          <w:p w14:paraId="5C4F434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Net Revenue Retention</w:t>
            </w:r>
          </w:p>
        </w:tc>
        <w:tc>
          <w:tcPr>
            <w:tcW w:w="0" w:type="auto"/>
            <w:vAlign w:val="center"/>
            <w:hideMark/>
          </w:tcPr>
          <w:p w14:paraId="67D5588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121.3%</w:t>
            </w:r>
          </w:p>
        </w:tc>
        <w:tc>
          <w:tcPr>
            <w:tcW w:w="0" w:type="auto"/>
            <w:vAlign w:val="center"/>
            <w:hideMark/>
          </w:tcPr>
          <w:p w14:paraId="7EB138E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125.0%</w:t>
            </w:r>
          </w:p>
        </w:tc>
        <w:tc>
          <w:tcPr>
            <w:tcW w:w="0" w:type="auto"/>
            <w:vAlign w:val="center"/>
            <w:hideMark/>
          </w:tcPr>
          <w:p w14:paraId="6FE119A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+3.7 pp</w:t>
            </w:r>
          </w:p>
        </w:tc>
      </w:tr>
      <w:tr w:rsidR="00371B20" w:rsidRPr="00371B20" w14:paraId="265224C3" w14:textId="77777777">
        <w:trPr>
          <w:tblCellSpacing w:w="15" w:type="dxa"/>
        </w:trPr>
        <w:tc>
          <w:tcPr>
            <w:tcW w:w="0" w:type="auto"/>
            <w:vAlign w:val="center"/>
            <w:hideMark/>
          </w:tcPr>
          <w:p w14:paraId="2DAE9E5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Gross Margin</w:t>
            </w:r>
          </w:p>
        </w:tc>
        <w:tc>
          <w:tcPr>
            <w:tcW w:w="0" w:type="auto"/>
            <w:vAlign w:val="center"/>
            <w:hideMark/>
          </w:tcPr>
          <w:p w14:paraId="1EFD0C1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75.2%</w:t>
            </w:r>
          </w:p>
        </w:tc>
        <w:tc>
          <w:tcPr>
            <w:tcW w:w="0" w:type="auto"/>
            <w:vAlign w:val="center"/>
            <w:hideMark/>
          </w:tcPr>
          <w:p w14:paraId="6CC53600"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78.5%</w:t>
            </w:r>
          </w:p>
        </w:tc>
        <w:tc>
          <w:tcPr>
            <w:tcW w:w="0" w:type="auto"/>
            <w:vAlign w:val="center"/>
            <w:hideMark/>
          </w:tcPr>
          <w:p w14:paraId="64B59CE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+3.3 pp</w:t>
            </w:r>
          </w:p>
        </w:tc>
      </w:tr>
    </w:tbl>
    <w:p w14:paraId="38591F90"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Risk Factors &amp; Mitigation Strategies</w:t>
      </w:r>
    </w:p>
    <w:p w14:paraId="4E1C9F2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Market Risks:</w:t>
      </w:r>
    </w:p>
    <w:p w14:paraId="3B1315E1" w14:textId="77777777" w:rsidR="00371B20" w:rsidRPr="00371B20" w:rsidRDefault="00371B20" w:rsidP="00371B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Economic downturn impacting financial institution spending</w:t>
      </w:r>
    </w:p>
    <w:p w14:paraId="663B29BC" w14:textId="77777777" w:rsidR="00371B20" w:rsidRPr="00371B20" w:rsidRDefault="00371B20" w:rsidP="00371B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Increased competition from large fintech players</w:t>
      </w:r>
    </w:p>
    <w:p w14:paraId="06BCF8B4" w14:textId="77777777" w:rsidR="00371B20" w:rsidRPr="00371B20" w:rsidRDefault="00371B20" w:rsidP="00371B2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Regulatory changes affecting compliance requirements</w:t>
      </w:r>
    </w:p>
    <w:p w14:paraId="1A9DB7F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Operational Risks:</w:t>
      </w:r>
    </w:p>
    <w:p w14:paraId="2FA7E091" w14:textId="77777777" w:rsidR="00371B20" w:rsidRPr="00371B20" w:rsidRDefault="00371B20" w:rsidP="00371B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Key personnel retention in competitive market</w:t>
      </w:r>
    </w:p>
    <w:p w14:paraId="565EDFFC" w14:textId="77777777" w:rsidR="00371B20" w:rsidRPr="00371B20" w:rsidRDefault="00371B20" w:rsidP="00371B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Cybersecurity threats and data protection requirements</w:t>
      </w:r>
    </w:p>
    <w:p w14:paraId="10C3A110" w14:textId="77777777" w:rsidR="00371B20" w:rsidRPr="00371B20" w:rsidRDefault="00371B20" w:rsidP="00371B2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Integration complexity with legacy banking systems</w:t>
      </w:r>
    </w:p>
    <w:p w14:paraId="3C06A679"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lastRenderedPageBreak/>
        <w:t>Mitigation Strategies:</w:t>
      </w:r>
    </w:p>
    <w:p w14:paraId="662D4A9E" w14:textId="77777777" w:rsidR="00371B20" w:rsidRPr="00371B20" w:rsidRDefault="00371B20" w:rsidP="00371B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Diversified client base across institution sizes and geographies</w:t>
      </w:r>
    </w:p>
    <w:p w14:paraId="7294875B" w14:textId="77777777" w:rsidR="00371B20" w:rsidRPr="00371B20" w:rsidRDefault="00371B20" w:rsidP="00371B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Strong cash position to weather economic uncertainty</w:t>
      </w:r>
    </w:p>
    <w:p w14:paraId="4719A6D8" w14:textId="77777777" w:rsidR="00371B20" w:rsidRPr="00371B20" w:rsidRDefault="00371B20" w:rsidP="00371B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Continuous investment in security and compliance infrastructure</w:t>
      </w:r>
    </w:p>
    <w:p w14:paraId="3E227ED1" w14:textId="77777777" w:rsidR="00371B20" w:rsidRPr="00371B20" w:rsidRDefault="00371B20" w:rsidP="00371B2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Competitive compensation and equity programs for key talent retention</w:t>
      </w:r>
    </w:p>
    <w:p w14:paraId="4C67E34E"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59EC99D1">
          <v:rect id="_x0000_i1028" alt="" style="width:468pt;height:.05pt;mso-width-percent:0;mso-height-percent:0;mso-width-percent:0;mso-height-percent:0" o:hralign="center" o:hrstd="t" o:hr="t" fillcolor="#a0a0a0" stroked="f"/>
        </w:pict>
      </w:r>
    </w:p>
    <w:p w14:paraId="4887F6D6"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FINANCIAL STATEMENTS SUMMARY</w:t>
      </w:r>
    </w:p>
    <w:p w14:paraId="23153EDE"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Condensed Income Statement</w:t>
      </w:r>
    </w:p>
    <w:p w14:paraId="01199D4C"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i/>
          <w:iCs/>
          <w:kern w:val="0"/>
          <w14:ligatures w14:val="none"/>
        </w:rPr>
        <w:t xml:space="preserve">For the Three Months Ended September 30, </w:t>
      </w:r>
      <w:proofErr w:type="gramStart"/>
      <w:r w:rsidRPr="00371B20">
        <w:rPr>
          <w:rFonts w:ascii="Times New Roman" w:eastAsia="Times New Roman" w:hAnsi="Times New Roman" w:cs="Times New Roman"/>
          <w:i/>
          <w:iCs/>
          <w:kern w:val="0"/>
          <w14:ligatures w14:val="none"/>
        </w:rPr>
        <w:t>2024</w:t>
      </w:r>
      <w:proofErr w:type="gramEnd"/>
      <w:r w:rsidRPr="00371B20">
        <w:rPr>
          <w:rFonts w:ascii="Times New Roman" w:eastAsia="Times New Roman" w:hAnsi="Times New Roman" w:cs="Times New Roman"/>
          <w:i/>
          <w:iCs/>
          <w:kern w:val="0"/>
          <w14:ligatures w14:val="none"/>
        </w:rPr>
        <w:t xml:space="preserve"> and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907"/>
        <w:gridCol w:w="907"/>
        <w:gridCol w:w="872"/>
      </w:tblGrid>
      <w:tr w:rsidR="00371B20" w:rsidRPr="00371B20" w14:paraId="029A1ADB" w14:textId="77777777">
        <w:trPr>
          <w:tblHeader/>
          <w:tblCellSpacing w:w="15" w:type="dxa"/>
        </w:trPr>
        <w:tc>
          <w:tcPr>
            <w:tcW w:w="0" w:type="auto"/>
            <w:vAlign w:val="center"/>
            <w:hideMark/>
          </w:tcPr>
          <w:p w14:paraId="4EB42D7F"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Line Item</w:t>
            </w:r>
          </w:p>
        </w:tc>
        <w:tc>
          <w:tcPr>
            <w:tcW w:w="0" w:type="auto"/>
            <w:vAlign w:val="center"/>
            <w:hideMark/>
          </w:tcPr>
          <w:p w14:paraId="71424683"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2024</w:t>
            </w:r>
          </w:p>
        </w:tc>
        <w:tc>
          <w:tcPr>
            <w:tcW w:w="0" w:type="auto"/>
            <w:vAlign w:val="center"/>
            <w:hideMark/>
          </w:tcPr>
          <w:p w14:paraId="1698120B"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Q3 2023</w:t>
            </w:r>
          </w:p>
        </w:tc>
        <w:tc>
          <w:tcPr>
            <w:tcW w:w="0" w:type="auto"/>
            <w:vAlign w:val="center"/>
            <w:hideMark/>
          </w:tcPr>
          <w:p w14:paraId="62F8EC9C" w14:textId="77777777" w:rsidR="00371B20" w:rsidRPr="00371B20" w:rsidRDefault="00371B20" w:rsidP="00371B20">
            <w:pPr>
              <w:spacing w:after="0" w:line="240" w:lineRule="auto"/>
              <w:jc w:val="center"/>
              <w:rPr>
                <w:rFonts w:ascii="Times New Roman" w:eastAsia="Times New Roman" w:hAnsi="Times New Roman" w:cs="Times New Roman"/>
                <w:b/>
                <w:bCs/>
                <w:kern w:val="0"/>
                <w14:ligatures w14:val="none"/>
              </w:rPr>
            </w:pPr>
            <w:r w:rsidRPr="00371B20">
              <w:rPr>
                <w:rFonts w:ascii="Times New Roman" w:eastAsia="Times New Roman" w:hAnsi="Times New Roman" w:cs="Times New Roman"/>
                <w:b/>
                <w:bCs/>
                <w:kern w:val="0"/>
                <w14:ligatures w14:val="none"/>
              </w:rPr>
              <w:t>Change</w:t>
            </w:r>
          </w:p>
        </w:tc>
      </w:tr>
      <w:tr w:rsidR="00371B20" w:rsidRPr="00371B20" w14:paraId="20E19452" w14:textId="77777777">
        <w:trPr>
          <w:tblCellSpacing w:w="15" w:type="dxa"/>
        </w:trPr>
        <w:tc>
          <w:tcPr>
            <w:tcW w:w="0" w:type="auto"/>
            <w:vAlign w:val="center"/>
            <w:hideMark/>
          </w:tcPr>
          <w:p w14:paraId="6D04F28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Revenue</w:t>
            </w:r>
          </w:p>
        </w:tc>
        <w:tc>
          <w:tcPr>
            <w:tcW w:w="0" w:type="auto"/>
            <w:vAlign w:val="center"/>
            <w:hideMark/>
          </w:tcPr>
          <w:p w14:paraId="71D96DB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p>
        </w:tc>
        <w:tc>
          <w:tcPr>
            <w:tcW w:w="0" w:type="auto"/>
            <w:vAlign w:val="center"/>
            <w:hideMark/>
          </w:tcPr>
          <w:p w14:paraId="3D526D6E"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E3CE31D"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r>
      <w:tr w:rsidR="00371B20" w:rsidRPr="00371B20" w14:paraId="0DABB20B" w14:textId="77777777">
        <w:trPr>
          <w:tblCellSpacing w:w="15" w:type="dxa"/>
        </w:trPr>
        <w:tc>
          <w:tcPr>
            <w:tcW w:w="0" w:type="auto"/>
            <w:vAlign w:val="center"/>
            <w:hideMark/>
          </w:tcPr>
          <w:p w14:paraId="0903DDE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SaaS Platform</w:t>
            </w:r>
          </w:p>
        </w:tc>
        <w:tc>
          <w:tcPr>
            <w:tcW w:w="0" w:type="auto"/>
            <w:vAlign w:val="center"/>
            <w:hideMark/>
          </w:tcPr>
          <w:p w14:paraId="74642DF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$1,482K</w:t>
            </w:r>
          </w:p>
        </w:tc>
        <w:tc>
          <w:tcPr>
            <w:tcW w:w="0" w:type="auto"/>
            <w:vAlign w:val="center"/>
            <w:hideMark/>
          </w:tcPr>
          <w:p w14:paraId="4244817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$1,072K</w:t>
            </w:r>
          </w:p>
        </w:tc>
        <w:tc>
          <w:tcPr>
            <w:tcW w:w="0" w:type="auto"/>
            <w:vAlign w:val="center"/>
            <w:hideMark/>
          </w:tcPr>
          <w:p w14:paraId="5928CF7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+38.2%</w:t>
            </w:r>
          </w:p>
        </w:tc>
      </w:tr>
      <w:tr w:rsidR="00371B20" w:rsidRPr="00371B20" w14:paraId="31AFF0A4" w14:textId="77777777">
        <w:trPr>
          <w:tblCellSpacing w:w="15" w:type="dxa"/>
        </w:trPr>
        <w:tc>
          <w:tcPr>
            <w:tcW w:w="0" w:type="auto"/>
            <w:vAlign w:val="center"/>
            <w:hideMark/>
          </w:tcPr>
          <w:p w14:paraId="0EDA111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Consulting Services</w:t>
            </w:r>
          </w:p>
        </w:tc>
        <w:tc>
          <w:tcPr>
            <w:tcW w:w="0" w:type="auto"/>
            <w:vAlign w:val="center"/>
            <w:hideMark/>
          </w:tcPr>
          <w:p w14:paraId="5ECF331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$586K</w:t>
            </w:r>
          </w:p>
        </w:tc>
        <w:tc>
          <w:tcPr>
            <w:tcW w:w="0" w:type="auto"/>
            <w:vAlign w:val="center"/>
            <w:hideMark/>
          </w:tcPr>
          <w:p w14:paraId="4DE7E3F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$493K</w:t>
            </w:r>
          </w:p>
        </w:tc>
        <w:tc>
          <w:tcPr>
            <w:tcW w:w="0" w:type="auto"/>
            <w:vAlign w:val="center"/>
            <w:hideMark/>
          </w:tcPr>
          <w:p w14:paraId="5421D9D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+18.9%</w:t>
            </w:r>
          </w:p>
        </w:tc>
      </w:tr>
      <w:tr w:rsidR="00371B20" w:rsidRPr="00371B20" w14:paraId="10D83D49" w14:textId="77777777">
        <w:trPr>
          <w:tblCellSpacing w:w="15" w:type="dxa"/>
        </w:trPr>
        <w:tc>
          <w:tcPr>
            <w:tcW w:w="0" w:type="auto"/>
            <w:vAlign w:val="center"/>
            <w:hideMark/>
          </w:tcPr>
          <w:p w14:paraId="45AF98F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Support &amp; Training</w:t>
            </w:r>
          </w:p>
        </w:tc>
        <w:tc>
          <w:tcPr>
            <w:tcW w:w="0" w:type="auto"/>
            <w:vAlign w:val="center"/>
            <w:hideMark/>
          </w:tcPr>
          <w:p w14:paraId="7C8D4B2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$234K</w:t>
            </w:r>
          </w:p>
        </w:tc>
        <w:tc>
          <w:tcPr>
            <w:tcW w:w="0" w:type="auto"/>
            <w:vAlign w:val="center"/>
            <w:hideMark/>
          </w:tcPr>
          <w:p w14:paraId="5389BD5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$201K</w:t>
            </w:r>
          </w:p>
        </w:tc>
        <w:tc>
          <w:tcPr>
            <w:tcW w:w="0" w:type="auto"/>
            <w:vAlign w:val="center"/>
            <w:hideMark/>
          </w:tcPr>
          <w:p w14:paraId="66316AB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+16.4%</w:t>
            </w:r>
          </w:p>
        </w:tc>
      </w:tr>
      <w:tr w:rsidR="00371B20" w:rsidRPr="00371B20" w14:paraId="5D8699DF" w14:textId="77777777">
        <w:trPr>
          <w:tblCellSpacing w:w="15" w:type="dxa"/>
        </w:trPr>
        <w:tc>
          <w:tcPr>
            <w:tcW w:w="0" w:type="auto"/>
            <w:vAlign w:val="center"/>
            <w:hideMark/>
          </w:tcPr>
          <w:p w14:paraId="52B3D99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Revenue</w:t>
            </w:r>
          </w:p>
        </w:tc>
        <w:tc>
          <w:tcPr>
            <w:tcW w:w="0" w:type="auto"/>
            <w:vAlign w:val="center"/>
            <w:hideMark/>
          </w:tcPr>
          <w:p w14:paraId="58AF0E9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$2,302K</w:t>
            </w:r>
          </w:p>
        </w:tc>
        <w:tc>
          <w:tcPr>
            <w:tcW w:w="0" w:type="auto"/>
            <w:vAlign w:val="center"/>
            <w:hideMark/>
          </w:tcPr>
          <w:p w14:paraId="4ECF41B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$1,800K</w:t>
            </w:r>
          </w:p>
        </w:tc>
        <w:tc>
          <w:tcPr>
            <w:tcW w:w="0" w:type="auto"/>
            <w:vAlign w:val="center"/>
            <w:hideMark/>
          </w:tcPr>
          <w:p w14:paraId="001916A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+27.9%</w:t>
            </w:r>
          </w:p>
        </w:tc>
      </w:tr>
      <w:tr w:rsidR="00371B20" w:rsidRPr="00371B20" w14:paraId="075509F7" w14:textId="77777777">
        <w:trPr>
          <w:tblCellSpacing w:w="15" w:type="dxa"/>
        </w:trPr>
        <w:tc>
          <w:tcPr>
            <w:tcW w:w="0" w:type="auto"/>
            <w:vAlign w:val="center"/>
            <w:hideMark/>
          </w:tcPr>
          <w:p w14:paraId="0FC9E95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p>
        </w:tc>
        <w:tc>
          <w:tcPr>
            <w:tcW w:w="0" w:type="auto"/>
            <w:vAlign w:val="center"/>
            <w:hideMark/>
          </w:tcPr>
          <w:p w14:paraId="500A64BC"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9C752DE"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C2EEEF"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r>
      <w:tr w:rsidR="00371B20" w:rsidRPr="00371B20" w14:paraId="57AAD9BC" w14:textId="77777777">
        <w:trPr>
          <w:tblCellSpacing w:w="15" w:type="dxa"/>
        </w:trPr>
        <w:tc>
          <w:tcPr>
            <w:tcW w:w="0" w:type="auto"/>
            <w:vAlign w:val="center"/>
            <w:hideMark/>
          </w:tcPr>
          <w:p w14:paraId="646BF29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Cost of Revenue</w:t>
            </w:r>
          </w:p>
        </w:tc>
        <w:tc>
          <w:tcPr>
            <w:tcW w:w="0" w:type="auto"/>
            <w:vAlign w:val="center"/>
            <w:hideMark/>
          </w:tcPr>
          <w:p w14:paraId="1C475F7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$588K</w:t>
            </w:r>
          </w:p>
        </w:tc>
        <w:tc>
          <w:tcPr>
            <w:tcW w:w="0" w:type="auto"/>
            <w:vAlign w:val="center"/>
            <w:hideMark/>
          </w:tcPr>
          <w:p w14:paraId="7926C17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$479K</w:t>
            </w:r>
          </w:p>
        </w:tc>
        <w:tc>
          <w:tcPr>
            <w:tcW w:w="0" w:type="auto"/>
            <w:vAlign w:val="center"/>
            <w:hideMark/>
          </w:tcPr>
          <w:p w14:paraId="5ED976A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+22.8%</w:t>
            </w:r>
          </w:p>
        </w:tc>
      </w:tr>
      <w:tr w:rsidR="00371B20" w:rsidRPr="00371B20" w14:paraId="31B8B5C7" w14:textId="77777777">
        <w:trPr>
          <w:tblCellSpacing w:w="15" w:type="dxa"/>
        </w:trPr>
        <w:tc>
          <w:tcPr>
            <w:tcW w:w="0" w:type="auto"/>
            <w:vAlign w:val="center"/>
            <w:hideMark/>
          </w:tcPr>
          <w:p w14:paraId="506FEA0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Gross Profit</w:t>
            </w:r>
          </w:p>
        </w:tc>
        <w:tc>
          <w:tcPr>
            <w:tcW w:w="0" w:type="auto"/>
            <w:vAlign w:val="center"/>
            <w:hideMark/>
          </w:tcPr>
          <w:p w14:paraId="7072A5A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$1,714K</w:t>
            </w:r>
          </w:p>
        </w:tc>
        <w:tc>
          <w:tcPr>
            <w:tcW w:w="0" w:type="auto"/>
            <w:vAlign w:val="center"/>
            <w:hideMark/>
          </w:tcPr>
          <w:p w14:paraId="7949C29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$1,321K</w:t>
            </w:r>
          </w:p>
        </w:tc>
        <w:tc>
          <w:tcPr>
            <w:tcW w:w="0" w:type="auto"/>
            <w:vAlign w:val="center"/>
            <w:hideMark/>
          </w:tcPr>
          <w:p w14:paraId="1DBB33A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+29.8%</w:t>
            </w:r>
          </w:p>
        </w:tc>
      </w:tr>
      <w:tr w:rsidR="00371B20" w:rsidRPr="00371B20" w14:paraId="16DC5248" w14:textId="77777777">
        <w:trPr>
          <w:tblCellSpacing w:w="15" w:type="dxa"/>
        </w:trPr>
        <w:tc>
          <w:tcPr>
            <w:tcW w:w="0" w:type="auto"/>
            <w:vAlign w:val="center"/>
            <w:hideMark/>
          </w:tcPr>
          <w:p w14:paraId="16226AA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Gross Margin</w:t>
            </w:r>
          </w:p>
        </w:tc>
        <w:tc>
          <w:tcPr>
            <w:tcW w:w="0" w:type="auto"/>
            <w:vAlign w:val="center"/>
            <w:hideMark/>
          </w:tcPr>
          <w:p w14:paraId="4162A74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75.2%</w:t>
            </w:r>
          </w:p>
        </w:tc>
        <w:tc>
          <w:tcPr>
            <w:tcW w:w="0" w:type="auto"/>
            <w:vAlign w:val="center"/>
            <w:hideMark/>
          </w:tcPr>
          <w:p w14:paraId="00B8B02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73.4%</w:t>
            </w:r>
          </w:p>
        </w:tc>
        <w:tc>
          <w:tcPr>
            <w:tcW w:w="0" w:type="auto"/>
            <w:vAlign w:val="center"/>
            <w:hideMark/>
          </w:tcPr>
          <w:p w14:paraId="484B969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+1.8 pp</w:t>
            </w:r>
          </w:p>
        </w:tc>
      </w:tr>
      <w:tr w:rsidR="00371B20" w:rsidRPr="00371B20" w14:paraId="607B2A0B" w14:textId="77777777">
        <w:trPr>
          <w:tblCellSpacing w:w="15" w:type="dxa"/>
        </w:trPr>
        <w:tc>
          <w:tcPr>
            <w:tcW w:w="0" w:type="auto"/>
            <w:vAlign w:val="center"/>
            <w:hideMark/>
          </w:tcPr>
          <w:p w14:paraId="1D4D610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p>
        </w:tc>
        <w:tc>
          <w:tcPr>
            <w:tcW w:w="0" w:type="auto"/>
            <w:vAlign w:val="center"/>
            <w:hideMark/>
          </w:tcPr>
          <w:p w14:paraId="3C9057AF"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8809E02"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93A6680"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r>
      <w:tr w:rsidR="00371B20" w:rsidRPr="00371B20" w14:paraId="3AE843F1" w14:textId="77777777">
        <w:trPr>
          <w:tblCellSpacing w:w="15" w:type="dxa"/>
        </w:trPr>
        <w:tc>
          <w:tcPr>
            <w:tcW w:w="0" w:type="auto"/>
            <w:vAlign w:val="center"/>
            <w:hideMark/>
          </w:tcPr>
          <w:p w14:paraId="7008D74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Operating Expenses</w:t>
            </w:r>
          </w:p>
        </w:tc>
        <w:tc>
          <w:tcPr>
            <w:tcW w:w="0" w:type="auto"/>
            <w:vAlign w:val="center"/>
            <w:hideMark/>
          </w:tcPr>
          <w:p w14:paraId="1E371B6E"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p>
        </w:tc>
        <w:tc>
          <w:tcPr>
            <w:tcW w:w="0" w:type="auto"/>
            <w:vAlign w:val="center"/>
            <w:hideMark/>
          </w:tcPr>
          <w:p w14:paraId="432408A1"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86BCEC5"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r>
      <w:tr w:rsidR="00371B20" w:rsidRPr="00371B20" w14:paraId="6E05C3E5" w14:textId="77777777">
        <w:trPr>
          <w:tblCellSpacing w:w="15" w:type="dxa"/>
        </w:trPr>
        <w:tc>
          <w:tcPr>
            <w:tcW w:w="0" w:type="auto"/>
            <w:vAlign w:val="center"/>
            <w:hideMark/>
          </w:tcPr>
          <w:p w14:paraId="7B834F5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Sales &amp; Marketing</w:t>
            </w:r>
          </w:p>
        </w:tc>
        <w:tc>
          <w:tcPr>
            <w:tcW w:w="0" w:type="auto"/>
            <w:vAlign w:val="center"/>
            <w:hideMark/>
          </w:tcPr>
          <w:p w14:paraId="7788825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$456K</w:t>
            </w:r>
          </w:p>
        </w:tc>
        <w:tc>
          <w:tcPr>
            <w:tcW w:w="0" w:type="auto"/>
            <w:vAlign w:val="center"/>
            <w:hideMark/>
          </w:tcPr>
          <w:p w14:paraId="4AFC4E0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$398K</w:t>
            </w:r>
          </w:p>
        </w:tc>
        <w:tc>
          <w:tcPr>
            <w:tcW w:w="0" w:type="auto"/>
            <w:vAlign w:val="center"/>
            <w:hideMark/>
          </w:tcPr>
          <w:p w14:paraId="4C4AD62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+14.6%</w:t>
            </w:r>
          </w:p>
        </w:tc>
      </w:tr>
      <w:tr w:rsidR="00371B20" w:rsidRPr="00371B20" w14:paraId="6AF384DA" w14:textId="77777777">
        <w:trPr>
          <w:tblCellSpacing w:w="15" w:type="dxa"/>
        </w:trPr>
        <w:tc>
          <w:tcPr>
            <w:tcW w:w="0" w:type="auto"/>
            <w:vAlign w:val="center"/>
            <w:hideMark/>
          </w:tcPr>
          <w:p w14:paraId="6E39177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Research &amp; Development</w:t>
            </w:r>
          </w:p>
        </w:tc>
        <w:tc>
          <w:tcPr>
            <w:tcW w:w="0" w:type="auto"/>
            <w:vAlign w:val="center"/>
            <w:hideMark/>
          </w:tcPr>
          <w:p w14:paraId="1F45D9A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$387K</w:t>
            </w:r>
          </w:p>
        </w:tc>
        <w:tc>
          <w:tcPr>
            <w:tcW w:w="0" w:type="auto"/>
            <w:vAlign w:val="center"/>
            <w:hideMark/>
          </w:tcPr>
          <w:p w14:paraId="55BC39D4"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$312K</w:t>
            </w:r>
          </w:p>
        </w:tc>
        <w:tc>
          <w:tcPr>
            <w:tcW w:w="0" w:type="auto"/>
            <w:vAlign w:val="center"/>
            <w:hideMark/>
          </w:tcPr>
          <w:p w14:paraId="31036983"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+24.0%</w:t>
            </w:r>
          </w:p>
        </w:tc>
      </w:tr>
      <w:tr w:rsidR="00371B20" w:rsidRPr="00371B20" w14:paraId="307C1546" w14:textId="77777777">
        <w:trPr>
          <w:tblCellSpacing w:w="15" w:type="dxa"/>
        </w:trPr>
        <w:tc>
          <w:tcPr>
            <w:tcW w:w="0" w:type="auto"/>
            <w:vAlign w:val="center"/>
            <w:hideMark/>
          </w:tcPr>
          <w:p w14:paraId="1B3C9D3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General &amp; Administrative</w:t>
            </w:r>
          </w:p>
        </w:tc>
        <w:tc>
          <w:tcPr>
            <w:tcW w:w="0" w:type="auto"/>
            <w:vAlign w:val="center"/>
            <w:hideMark/>
          </w:tcPr>
          <w:p w14:paraId="7F68817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$278K</w:t>
            </w:r>
          </w:p>
        </w:tc>
        <w:tc>
          <w:tcPr>
            <w:tcW w:w="0" w:type="auto"/>
            <w:vAlign w:val="center"/>
            <w:hideMark/>
          </w:tcPr>
          <w:p w14:paraId="673C032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$254K</w:t>
            </w:r>
          </w:p>
        </w:tc>
        <w:tc>
          <w:tcPr>
            <w:tcW w:w="0" w:type="auto"/>
            <w:vAlign w:val="center"/>
            <w:hideMark/>
          </w:tcPr>
          <w:p w14:paraId="0450F2B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+9.4%</w:t>
            </w:r>
          </w:p>
        </w:tc>
      </w:tr>
      <w:tr w:rsidR="00371B20" w:rsidRPr="00371B20" w14:paraId="05588FB3" w14:textId="77777777">
        <w:trPr>
          <w:tblCellSpacing w:w="15" w:type="dxa"/>
        </w:trPr>
        <w:tc>
          <w:tcPr>
            <w:tcW w:w="0" w:type="auto"/>
            <w:vAlign w:val="center"/>
            <w:hideMark/>
          </w:tcPr>
          <w:p w14:paraId="2348DA26"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Operating Expenses</w:t>
            </w:r>
          </w:p>
        </w:tc>
        <w:tc>
          <w:tcPr>
            <w:tcW w:w="0" w:type="auto"/>
            <w:vAlign w:val="center"/>
            <w:hideMark/>
          </w:tcPr>
          <w:p w14:paraId="3CE5B4B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$1,121K</w:t>
            </w:r>
          </w:p>
        </w:tc>
        <w:tc>
          <w:tcPr>
            <w:tcW w:w="0" w:type="auto"/>
            <w:vAlign w:val="center"/>
            <w:hideMark/>
          </w:tcPr>
          <w:p w14:paraId="5353240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$964K</w:t>
            </w:r>
          </w:p>
        </w:tc>
        <w:tc>
          <w:tcPr>
            <w:tcW w:w="0" w:type="auto"/>
            <w:vAlign w:val="center"/>
            <w:hideMark/>
          </w:tcPr>
          <w:p w14:paraId="37990B70"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+16.3%</w:t>
            </w:r>
          </w:p>
        </w:tc>
      </w:tr>
      <w:tr w:rsidR="00371B20" w:rsidRPr="00371B20" w14:paraId="28B86F41" w14:textId="77777777">
        <w:trPr>
          <w:tblCellSpacing w:w="15" w:type="dxa"/>
        </w:trPr>
        <w:tc>
          <w:tcPr>
            <w:tcW w:w="0" w:type="auto"/>
            <w:vAlign w:val="center"/>
            <w:hideMark/>
          </w:tcPr>
          <w:p w14:paraId="318D687F"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p>
        </w:tc>
        <w:tc>
          <w:tcPr>
            <w:tcW w:w="0" w:type="auto"/>
            <w:vAlign w:val="center"/>
            <w:hideMark/>
          </w:tcPr>
          <w:p w14:paraId="18EE98E5"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46C4AFB"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9854518"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r>
      <w:tr w:rsidR="00371B20" w:rsidRPr="00371B20" w14:paraId="26BBF0BF" w14:textId="77777777">
        <w:trPr>
          <w:tblCellSpacing w:w="15" w:type="dxa"/>
        </w:trPr>
        <w:tc>
          <w:tcPr>
            <w:tcW w:w="0" w:type="auto"/>
            <w:vAlign w:val="center"/>
            <w:hideMark/>
          </w:tcPr>
          <w:p w14:paraId="4690D9A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Operating Income</w:t>
            </w:r>
          </w:p>
        </w:tc>
        <w:tc>
          <w:tcPr>
            <w:tcW w:w="0" w:type="auto"/>
            <w:vAlign w:val="center"/>
            <w:hideMark/>
          </w:tcPr>
          <w:p w14:paraId="3DFB52C8"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$312K</w:t>
            </w:r>
          </w:p>
        </w:tc>
        <w:tc>
          <w:tcPr>
            <w:tcW w:w="0" w:type="auto"/>
            <w:vAlign w:val="center"/>
            <w:hideMark/>
          </w:tcPr>
          <w:p w14:paraId="6DA39E7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$129K</w:t>
            </w:r>
          </w:p>
        </w:tc>
        <w:tc>
          <w:tcPr>
            <w:tcW w:w="0" w:type="auto"/>
            <w:vAlign w:val="center"/>
            <w:hideMark/>
          </w:tcPr>
          <w:p w14:paraId="3902427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+142%</w:t>
            </w:r>
          </w:p>
        </w:tc>
      </w:tr>
      <w:tr w:rsidR="00371B20" w:rsidRPr="00371B20" w14:paraId="0BBEC4E7" w14:textId="77777777">
        <w:trPr>
          <w:tblCellSpacing w:w="15" w:type="dxa"/>
        </w:trPr>
        <w:tc>
          <w:tcPr>
            <w:tcW w:w="0" w:type="auto"/>
            <w:vAlign w:val="center"/>
            <w:hideMark/>
          </w:tcPr>
          <w:p w14:paraId="130FA75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Operating Margin</w:t>
            </w:r>
          </w:p>
        </w:tc>
        <w:tc>
          <w:tcPr>
            <w:tcW w:w="0" w:type="auto"/>
            <w:vAlign w:val="center"/>
            <w:hideMark/>
          </w:tcPr>
          <w:p w14:paraId="5A940AF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13.6%</w:t>
            </w:r>
          </w:p>
        </w:tc>
        <w:tc>
          <w:tcPr>
            <w:tcW w:w="0" w:type="auto"/>
            <w:vAlign w:val="center"/>
            <w:hideMark/>
          </w:tcPr>
          <w:p w14:paraId="7C75E62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7.2%</w:t>
            </w:r>
          </w:p>
        </w:tc>
        <w:tc>
          <w:tcPr>
            <w:tcW w:w="0" w:type="auto"/>
            <w:vAlign w:val="center"/>
            <w:hideMark/>
          </w:tcPr>
          <w:p w14:paraId="520B04AA"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+6.4 pp</w:t>
            </w:r>
          </w:p>
        </w:tc>
      </w:tr>
      <w:tr w:rsidR="00371B20" w:rsidRPr="00371B20" w14:paraId="2C2BB105" w14:textId="77777777">
        <w:trPr>
          <w:tblCellSpacing w:w="15" w:type="dxa"/>
        </w:trPr>
        <w:tc>
          <w:tcPr>
            <w:tcW w:w="0" w:type="auto"/>
            <w:vAlign w:val="center"/>
            <w:hideMark/>
          </w:tcPr>
          <w:p w14:paraId="30948EE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p>
        </w:tc>
        <w:tc>
          <w:tcPr>
            <w:tcW w:w="0" w:type="auto"/>
            <w:vAlign w:val="center"/>
            <w:hideMark/>
          </w:tcPr>
          <w:p w14:paraId="4E3B54F0"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5536624A"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2658854" w14:textId="77777777" w:rsidR="00371B20" w:rsidRPr="00371B20" w:rsidRDefault="00371B20" w:rsidP="00371B20">
            <w:pPr>
              <w:spacing w:after="0" w:line="240" w:lineRule="auto"/>
              <w:rPr>
                <w:rFonts w:ascii="Times New Roman" w:eastAsia="Times New Roman" w:hAnsi="Times New Roman" w:cs="Times New Roman"/>
                <w:kern w:val="0"/>
                <w:sz w:val="20"/>
                <w:szCs w:val="20"/>
                <w14:ligatures w14:val="none"/>
              </w:rPr>
            </w:pPr>
          </w:p>
        </w:tc>
      </w:tr>
      <w:tr w:rsidR="00371B20" w:rsidRPr="00371B20" w14:paraId="23FBBF3E" w14:textId="77777777">
        <w:trPr>
          <w:tblCellSpacing w:w="15" w:type="dxa"/>
        </w:trPr>
        <w:tc>
          <w:tcPr>
            <w:tcW w:w="0" w:type="auto"/>
            <w:vAlign w:val="center"/>
            <w:hideMark/>
          </w:tcPr>
          <w:p w14:paraId="2332D0A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Interest Income</w:t>
            </w:r>
          </w:p>
        </w:tc>
        <w:tc>
          <w:tcPr>
            <w:tcW w:w="0" w:type="auto"/>
            <w:vAlign w:val="center"/>
            <w:hideMark/>
          </w:tcPr>
          <w:p w14:paraId="6F7A72B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$8K</w:t>
            </w:r>
          </w:p>
        </w:tc>
        <w:tc>
          <w:tcPr>
            <w:tcW w:w="0" w:type="auto"/>
            <w:vAlign w:val="center"/>
            <w:hideMark/>
          </w:tcPr>
          <w:p w14:paraId="479012E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$3K</w:t>
            </w:r>
          </w:p>
        </w:tc>
        <w:tc>
          <w:tcPr>
            <w:tcW w:w="0" w:type="auto"/>
            <w:vAlign w:val="center"/>
            <w:hideMark/>
          </w:tcPr>
          <w:p w14:paraId="7D32E15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+167%</w:t>
            </w:r>
          </w:p>
        </w:tc>
      </w:tr>
      <w:tr w:rsidR="00371B20" w:rsidRPr="00371B20" w14:paraId="32CCA118" w14:textId="77777777">
        <w:trPr>
          <w:tblCellSpacing w:w="15" w:type="dxa"/>
        </w:trPr>
        <w:tc>
          <w:tcPr>
            <w:tcW w:w="0" w:type="auto"/>
            <w:vAlign w:val="center"/>
            <w:hideMark/>
          </w:tcPr>
          <w:p w14:paraId="0BE471F0"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Interest Expense</w:t>
            </w:r>
          </w:p>
        </w:tc>
        <w:tc>
          <w:tcPr>
            <w:tcW w:w="0" w:type="auto"/>
            <w:vAlign w:val="center"/>
            <w:hideMark/>
          </w:tcPr>
          <w:p w14:paraId="55F3B17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$(22K)</w:t>
            </w:r>
          </w:p>
        </w:tc>
        <w:tc>
          <w:tcPr>
            <w:tcW w:w="0" w:type="auto"/>
            <w:vAlign w:val="center"/>
            <w:hideMark/>
          </w:tcPr>
          <w:p w14:paraId="00EB312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$(19K)</w:t>
            </w:r>
          </w:p>
        </w:tc>
        <w:tc>
          <w:tcPr>
            <w:tcW w:w="0" w:type="auto"/>
            <w:vAlign w:val="center"/>
            <w:hideMark/>
          </w:tcPr>
          <w:p w14:paraId="59C9EE6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+15.8%</w:t>
            </w:r>
          </w:p>
        </w:tc>
      </w:tr>
      <w:tr w:rsidR="00371B20" w:rsidRPr="00371B20" w14:paraId="1F67CC86" w14:textId="77777777">
        <w:trPr>
          <w:tblCellSpacing w:w="15" w:type="dxa"/>
        </w:trPr>
        <w:tc>
          <w:tcPr>
            <w:tcW w:w="0" w:type="auto"/>
            <w:vAlign w:val="center"/>
            <w:hideMark/>
          </w:tcPr>
          <w:p w14:paraId="6F4CDE52"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Net Income</w:t>
            </w:r>
          </w:p>
        </w:tc>
        <w:tc>
          <w:tcPr>
            <w:tcW w:w="0" w:type="auto"/>
            <w:vAlign w:val="center"/>
            <w:hideMark/>
          </w:tcPr>
          <w:p w14:paraId="72F9F05D"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$298K</w:t>
            </w:r>
          </w:p>
        </w:tc>
        <w:tc>
          <w:tcPr>
            <w:tcW w:w="0" w:type="auto"/>
            <w:vAlign w:val="center"/>
            <w:hideMark/>
          </w:tcPr>
          <w:p w14:paraId="7987144C"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$113K</w:t>
            </w:r>
          </w:p>
        </w:tc>
        <w:tc>
          <w:tcPr>
            <w:tcW w:w="0" w:type="auto"/>
            <w:vAlign w:val="center"/>
            <w:hideMark/>
          </w:tcPr>
          <w:p w14:paraId="4E2292D5"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+164%</w:t>
            </w:r>
          </w:p>
        </w:tc>
      </w:tr>
      <w:tr w:rsidR="00371B20" w:rsidRPr="00371B20" w14:paraId="7C98ED1B" w14:textId="77777777">
        <w:trPr>
          <w:tblCellSpacing w:w="15" w:type="dxa"/>
        </w:trPr>
        <w:tc>
          <w:tcPr>
            <w:tcW w:w="0" w:type="auto"/>
            <w:vAlign w:val="center"/>
            <w:hideMark/>
          </w:tcPr>
          <w:p w14:paraId="6C1DEDAB"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Net Margin</w:t>
            </w:r>
          </w:p>
        </w:tc>
        <w:tc>
          <w:tcPr>
            <w:tcW w:w="0" w:type="auto"/>
            <w:vAlign w:val="center"/>
            <w:hideMark/>
          </w:tcPr>
          <w:p w14:paraId="5333B3C7"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12.9%</w:t>
            </w:r>
          </w:p>
        </w:tc>
        <w:tc>
          <w:tcPr>
            <w:tcW w:w="0" w:type="auto"/>
            <w:vAlign w:val="center"/>
            <w:hideMark/>
          </w:tcPr>
          <w:p w14:paraId="0184C079"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6.3%</w:t>
            </w:r>
          </w:p>
        </w:tc>
        <w:tc>
          <w:tcPr>
            <w:tcW w:w="0" w:type="auto"/>
            <w:vAlign w:val="center"/>
            <w:hideMark/>
          </w:tcPr>
          <w:p w14:paraId="5CD89A01" w14:textId="77777777" w:rsidR="00371B20" w:rsidRPr="00371B20" w:rsidRDefault="00371B20" w:rsidP="00371B20">
            <w:pPr>
              <w:spacing w:after="0"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+6.6 pp</w:t>
            </w:r>
          </w:p>
        </w:tc>
      </w:tr>
    </w:tbl>
    <w:p w14:paraId="11CD1AD3"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Balance Sheet Highlights</w:t>
      </w:r>
    </w:p>
    <w:p w14:paraId="048AC76E"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i/>
          <w:iCs/>
          <w:kern w:val="0"/>
          <w14:ligatures w14:val="none"/>
        </w:rPr>
        <w:t>As of September 30, 2024</w:t>
      </w:r>
    </w:p>
    <w:p w14:paraId="5B1171F8"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lastRenderedPageBreak/>
        <w:t>Assets:</w:t>
      </w:r>
    </w:p>
    <w:p w14:paraId="474E1AF9" w14:textId="77777777" w:rsidR="00371B20" w:rsidRPr="00371B20" w:rsidRDefault="00371B20" w:rsidP="00371B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Cash and Cash Equivalents: $1,847K</w:t>
      </w:r>
    </w:p>
    <w:p w14:paraId="1A6DA12B" w14:textId="77777777" w:rsidR="00371B20" w:rsidRPr="00371B20" w:rsidRDefault="00371B20" w:rsidP="00371B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Accounts Receivable: $734K</w:t>
      </w:r>
    </w:p>
    <w:p w14:paraId="7ACCB8DF" w14:textId="77777777" w:rsidR="00371B20" w:rsidRPr="00371B20" w:rsidRDefault="00371B20" w:rsidP="00371B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Total Current Assets: $2,681K</w:t>
      </w:r>
    </w:p>
    <w:p w14:paraId="1ADD4371" w14:textId="77777777" w:rsidR="00371B20" w:rsidRPr="00371B20" w:rsidRDefault="00371B20" w:rsidP="00371B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Property, Plant &amp; Equipment (net): $312K</w:t>
      </w:r>
    </w:p>
    <w:p w14:paraId="35710644" w14:textId="77777777" w:rsidR="00371B20" w:rsidRPr="00371B20" w:rsidRDefault="00371B20" w:rsidP="00371B2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Assets:</w:t>
      </w:r>
      <w:r w:rsidRPr="00371B20">
        <w:rPr>
          <w:rFonts w:ascii="Times New Roman" w:eastAsia="Times New Roman" w:hAnsi="Times New Roman" w:cs="Times New Roman"/>
          <w:kern w:val="0"/>
          <w14:ligatures w14:val="none"/>
        </w:rPr>
        <w:t xml:space="preserve"> $3,156K</w:t>
      </w:r>
    </w:p>
    <w:p w14:paraId="4C0A2BB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Liabilities &amp; Equity:</w:t>
      </w:r>
    </w:p>
    <w:p w14:paraId="3D3C7448" w14:textId="77777777" w:rsidR="00371B20" w:rsidRPr="00371B20" w:rsidRDefault="00371B20" w:rsidP="00371B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Accounts Payable: $187K</w:t>
      </w:r>
    </w:p>
    <w:p w14:paraId="5345D5B5" w14:textId="77777777" w:rsidR="00371B20" w:rsidRPr="00371B20" w:rsidRDefault="00371B20" w:rsidP="00371B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Accrued Liabilities: $234K</w:t>
      </w:r>
    </w:p>
    <w:p w14:paraId="39245BA5" w14:textId="77777777" w:rsidR="00371B20" w:rsidRPr="00371B20" w:rsidRDefault="00371B20" w:rsidP="00371B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Deferred Revenue: $892K</w:t>
      </w:r>
    </w:p>
    <w:p w14:paraId="42DC8915" w14:textId="77777777" w:rsidR="00371B20" w:rsidRPr="00371B20" w:rsidRDefault="00371B20" w:rsidP="00371B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Total Current Liabilities: $1,313K</w:t>
      </w:r>
    </w:p>
    <w:p w14:paraId="2183B0B0" w14:textId="77777777" w:rsidR="00371B20" w:rsidRPr="00371B20" w:rsidRDefault="00371B20" w:rsidP="00371B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Long-term Debt: $445K</w:t>
      </w:r>
    </w:p>
    <w:p w14:paraId="541E2368" w14:textId="77777777" w:rsidR="00371B20" w:rsidRPr="00371B20" w:rsidRDefault="00371B20" w:rsidP="00371B2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Total Stockholders' Equity:</w:t>
      </w:r>
      <w:r w:rsidRPr="00371B20">
        <w:rPr>
          <w:rFonts w:ascii="Times New Roman" w:eastAsia="Times New Roman" w:hAnsi="Times New Roman" w:cs="Times New Roman"/>
          <w:kern w:val="0"/>
          <w14:ligatures w14:val="none"/>
        </w:rPr>
        <w:t xml:space="preserve"> $1,398K</w:t>
      </w:r>
    </w:p>
    <w:p w14:paraId="234133F6" w14:textId="77777777" w:rsidR="00371B20" w:rsidRPr="00371B20" w:rsidRDefault="00371B20" w:rsidP="00371B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1B20">
        <w:rPr>
          <w:rFonts w:ascii="Times New Roman" w:eastAsia="Times New Roman" w:hAnsi="Times New Roman" w:cs="Times New Roman"/>
          <w:b/>
          <w:bCs/>
          <w:kern w:val="0"/>
          <w:sz w:val="27"/>
          <w:szCs w:val="27"/>
          <w14:ligatures w14:val="none"/>
        </w:rPr>
        <w:t>Cash Flow Summary</w:t>
      </w:r>
    </w:p>
    <w:p w14:paraId="17731C6B"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i/>
          <w:iCs/>
          <w:kern w:val="0"/>
          <w14:ligatures w14:val="none"/>
        </w:rPr>
        <w:t>For the Three Months Ended September 30, 2024</w:t>
      </w:r>
    </w:p>
    <w:p w14:paraId="3615E341" w14:textId="77777777" w:rsidR="00371B20" w:rsidRPr="00371B20" w:rsidRDefault="00371B20" w:rsidP="00371B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Operating Cash Flow:</w:t>
      </w:r>
      <w:r w:rsidRPr="00371B20">
        <w:rPr>
          <w:rFonts w:ascii="Times New Roman" w:eastAsia="Times New Roman" w:hAnsi="Times New Roman" w:cs="Times New Roman"/>
          <w:kern w:val="0"/>
          <w14:ligatures w14:val="none"/>
        </w:rPr>
        <w:t xml:space="preserve"> $389K</w:t>
      </w:r>
    </w:p>
    <w:p w14:paraId="00BBF8CD" w14:textId="77777777" w:rsidR="00371B20" w:rsidRPr="00371B20" w:rsidRDefault="00371B20" w:rsidP="00371B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Investing Cash Flow:</w:t>
      </w:r>
      <w:r w:rsidRPr="00371B20">
        <w:rPr>
          <w:rFonts w:ascii="Times New Roman" w:eastAsia="Times New Roman" w:hAnsi="Times New Roman" w:cs="Times New Roman"/>
          <w:kern w:val="0"/>
          <w14:ligatures w14:val="none"/>
        </w:rPr>
        <w:t xml:space="preserve"> $(77K)</w:t>
      </w:r>
    </w:p>
    <w:p w14:paraId="46448F30" w14:textId="77777777" w:rsidR="00371B20" w:rsidRPr="00371B20" w:rsidRDefault="00371B20" w:rsidP="00371B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Financing Cash Flow:</w:t>
      </w:r>
      <w:r w:rsidRPr="00371B20">
        <w:rPr>
          <w:rFonts w:ascii="Times New Roman" w:eastAsia="Times New Roman" w:hAnsi="Times New Roman" w:cs="Times New Roman"/>
          <w:kern w:val="0"/>
          <w14:ligatures w14:val="none"/>
        </w:rPr>
        <w:t xml:space="preserve"> $(124K)</w:t>
      </w:r>
    </w:p>
    <w:p w14:paraId="4F35FF8D" w14:textId="77777777" w:rsidR="00371B20" w:rsidRPr="00371B20" w:rsidRDefault="00371B20" w:rsidP="00371B2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Net Change in Cash:</w:t>
      </w:r>
      <w:r w:rsidRPr="00371B20">
        <w:rPr>
          <w:rFonts w:ascii="Times New Roman" w:eastAsia="Times New Roman" w:hAnsi="Times New Roman" w:cs="Times New Roman"/>
          <w:kern w:val="0"/>
          <w14:ligatures w14:val="none"/>
        </w:rPr>
        <w:t xml:space="preserve"> $188K</w:t>
      </w:r>
    </w:p>
    <w:p w14:paraId="6599A4BA"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64D5D00C">
          <v:rect id="_x0000_i1027" alt="" style="width:468pt;height:.05pt;mso-width-percent:0;mso-height-percent:0;mso-width-percent:0;mso-height-percent:0" o:hralign="center" o:hrstd="t" o:hr="t" fillcolor="#a0a0a0" stroked="f"/>
        </w:pict>
      </w:r>
    </w:p>
    <w:p w14:paraId="525171F9" w14:textId="77777777" w:rsidR="00371B20" w:rsidRPr="00371B20" w:rsidRDefault="00371B20" w:rsidP="00371B2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71B20">
        <w:rPr>
          <w:rFonts w:ascii="Times New Roman" w:eastAsia="Times New Roman" w:hAnsi="Times New Roman" w:cs="Times New Roman"/>
          <w:b/>
          <w:bCs/>
          <w:kern w:val="0"/>
          <w:sz w:val="36"/>
          <w:szCs w:val="36"/>
          <w14:ligatures w14:val="none"/>
        </w:rPr>
        <w:t>CONCLUSION &amp; OUTLOOK</w:t>
      </w:r>
    </w:p>
    <w:p w14:paraId="198E47B5"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Fina Financial Solutions concluded Q3 2024 with strong financial performance across all key metrics, demonstrating the resilience and growth potential of our fintech platform. Our 27.8% year-over-year revenue growth, coupled with improved profitability margins and strong cash generation, positions us favorably for continued expansion.</w:t>
      </w:r>
    </w:p>
    <w:p w14:paraId="0261B3F7"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The financial services technology market remains robust, with increasing demand for compliance automation and digital banking solutions. Our strategic focus on serving regional banks and credit unions continues to differentiate us in the marketplace, and our strong client retention metrics validate our value proposition.</w:t>
      </w:r>
    </w:p>
    <w:p w14:paraId="7941A999"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Looking ahead, we remain confident in achieving our 2024 targets and are well-positioned for accelerated growth in 2025, supported by new product launches, geographic expansion, and strategic partnerships.</w:t>
      </w:r>
    </w:p>
    <w:p w14:paraId="67144C7E"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Key Success Factors Going Forward:</w:t>
      </w:r>
    </w:p>
    <w:p w14:paraId="10C75C90" w14:textId="77777777" w:rsidR="00371B20" w:rsidRPr="00371B20" w:rsidRDefault="00371B20" w:rsidP="00371B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lastRenderedPageBreak/>
        <w:t>Continued investment in product innovation and AI capabilities</w:t>
      </w:r>
    </w:p>
    <w:p w14:paraId="4B36AB2C" w14:textId="77777777" w:rsidR="00371B20" w:rsidRPr="00371B20" w:rsidRDefault="00371B20" w:rsidP="00371B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Strategic expansion into complementary financial services segments</w:t>
      </w:r>
    </w:p>
    <w:p w14:paraId="0B518CEE" w14:textId="77777777" w:rsidR="00371B20" w:rsidRPr="00371B20" w:rsidRDefault="00371B20" w:rsidP="00371B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Strengthening partnerships with core banking providers</w:t>
      </w:r>
    </w:p>
    <w:p w14:paraId="5298470C" w14:textId="77777777" w:rsidR="00371B20" w:rsidRPr="00371B20" w:rsidRDefault="00371B20" w:rsidP="00371B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Maintaining operational excellence and client satisfaction</w:t>
      </w:r>
    </w:p>
    <w:p w14:paraId="36EA873A" w14:textId="77777777" w:rsidR="00371B20" w:rsidRPr="00371B20" w:rsidRDefault="00371B20" w:rsidP="00371B2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Building scalable infrastructure to support rapid growth</w:t>
      </w:r>
    </w:p>
    <w:p w14:paraId="5E529D2D"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kern w:val="0"/>
          <w14:ligatures w14:val="none"/>
        </w:rPr>
        <w:t>We thank our clients, partners, and stakeholders for their continued confidence in Fina Financial Solutions as we execute on our mission to transform financial services through innovative technology.</w:t>
      </w:r>
    </w:p>
    <w:p w14:paraId="2264B0C6"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799B567D">
          <v:rect id="_x0000_i1026" alt="" style="width:468pt;height:.05pt;mso-width-percent:0;mso-height-percent:0;mso-width-percent:0;mso-height-percent:0" o:hralign="center" o:hrstd="t" o:hr="t" fillcolor="#a0a0a0" stroked="f"/>
        </w:pict>
      </w:r>
    </w:p>
    <w:p w14:paraId="0BDE6537"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Contact Information:</w:t>
      </w:r>
    </w:p>
    <w:p w14:paraId="6DDD94D1" w14:textId="77777777" w:rsidR="00371B20" w:rsidRPr="00371B20" w:rsidRDefault="00371B20" w:rsidP="00371B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Maria Rodriguez, CFO:</w:t>
      </w:r>
      <w:r w:rsidRPr="00371B20">
        <w:rPr>
          <w:rFonts w:ascii="Times New Roman" w:eastAsia="Times New Roman" w:hAnsi="Times New Roman" w:cs="Times New Roman"/>
          <w:kern w:val="0"/>
          <w14:ligatures w14:val="none"/>
        </w:rPr>
        <w:t xml:space="preserve"> maria.rodriguez@finafinancial.com</w:t>
      </w:r>
    </w:p>
    <w:p w14:paraId="68A30BB6" w14:textId="77777777" w:rsidR="00371B20" w:rsidRPr="00371B20" w:rsidRDefault="00371B20" w:rsidP="00371B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Investor Relations:</w:t>
      </w:r>
      <w:r w:rsidRPr="00371B20">
        <w:rPr>
          <w:rFonts w:ascii="Times New Roman" w:eastAsia="Times New Roman" w:hAnsi="Times New Roman" w:cs="Times New Roman"/>
          <w:kern w:val="0"/>
          <w14:ligatures w14:val="none"/>
        </w:rPr>
        <w:t xml:space="preserve"> investors@finafinancial.com</w:t>
      </w:r>
    </w:p>
    <w:p w14:paraId="520533A3" w14:textId="77777777" w:rsidR="00371B20" w:rsidRPr="00371B20" w:rsidRDefault="00371B20" w:rsidP="00371B2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b/>
          <w:bCs/>
          <w:kern w:val="0"/>
          <w14:ligatures w14:val="none"/>
        </w:rPr>
        <w:t>Main Office:</w:t>
      </w:r>
      <w:r w:rsidRPr="00371B20">
        <w:rPr>
          <w:rFonts w:ascii="Times New Roman" w:eastAsia="Times New Roman" w:hAnsi="Times New Roman" w:cs="Times New Roman"/>
          <w:kern w:val="0"/>
          <w14:ligatures w14:val="none"/>
        </w:rPr>
        <w:t xml:space="preserve"> (555) 789-0123</w:t>
      </w:r>
    </w:p>
    <w:p w14:paraId="2C9ACAFC"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i/>
          <w:iCs/>
          <w:kern w:val="0"/>
          <w14:ligatures w14:val="none"/>
        </w:rPr>
        <w:t>This report contains forward-looking statements based on current expectations. Actual results may differ materially from those projected.</w:t>
      </w:r>
    </w:p>
    <w:p w14:paraId="4969E60F" w14:textId="77777777" w:rsidR="00371B20" w:rsidRPr="00371B20" w:rsidRDefault="00E62E11" w:rsidP="00371B20">
      <w:pPr>
        <w:spacing w:after="0" w:line="240" w:lineRule="auto"/>
        <w:rPr>
          <w:rFonts w:ascii="Times New Roman" w:eastAsia="Times New Roman" w:hAnsi="Times New Roman" w:cs="Times New Roman"/>
          <w:kern w:val="0"/>
          <w14:ligatures w14:val="none"/>
        </w:rPr>
      </w:pPr>
      <w:r w:rsidRPr="00E62E11">
        <w:rPr>
          <w:rFonts w:ascii="Times New Roman" w:eastAsia="Times New Roman" w:hAnsi="Times New Roman" w:cs="Times New Roman"/>
          <w:noProof/>
          <w:kern w:val="0"/>
        </w:rPr>
        <w:pict w14:anchorId="5751FC75">
          <v:rect id="_x0000_i1025" alt="" style="width:468pt;height:.05pt;mso-width-percent:0;mso-height-percent:0;mso-width-percent:0;mso-height-percent:0" o:hralign="center" o:hrstd="t" o:hr="t" fillcolor="#a0a0a0" stroked="f"/>
        </w:pict>
      </w:r>
    </w:p>
    <w:p w14:paraId="7EABB658" w14:textId="77777777" w:rsidR="00371B20" w:rsidRPr="00371B20" w:rsidRDefault="00371B20" w:rsidP="00371B20">
      <w:pPr>
        <w:spacing w:before="100" w:beforeAutospacing="1" w:after="100" w:afterAutospacing="1" w:line="240" w:lineRule="auto"/>
        <w:rPr>
          <w:rFonts w:ascii="Times New Roman" w:eastAsia="Times New Roman" w:hAnsi="Times New Roman" w:cs="Times New Roman"/>
          <w:kern w:val="0"/>
          <w14:ligatures w14:val="none"/>
        </w:rPr>
      </w:pPr>
      <w:r w:rsidRPr="00371B20">
        <w:rPr>
          <w:rFonts w:ascii="Times New Roman" w:eastAsia="Times New Roman" w:hAnsi="Times New Roman" w:cs="Times New Roman"/>
          <w:i/>
          <w:iCs/>
          <w:kern w:val="0"/>
          <w14:ligatures w14:val="none"/>
        </w:rPr>
        <w:t>© 2024 Fina Financial Solutions. All rights reserved. | Report Date: October 18, 2024</w:t>
      </w:r>
    </w:p>
    <w:p w14:paraId="6D8F942D"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118"/>
    <w:multiLevelType w:val="multilevel"/>
    <w:tmpl w:val="AC8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424B"/>
    <w:multiLevelType w:val="multilevel"/>
    <w:tmpl w:val="D5AC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20892"/>
    <w:multiLevelType w:val="multilevel"/>
    <w:tmpl w:val="CFF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0631"/>
    <w:multiLevelType w:val="multilevel"/>
    <w:tmpl w:val="524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27827"/>
    <w:multiLevelType w:val="multilevel"/>
    <w:tmpl w:val="705E3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07039"/>
    <w:multiLevelType w:val="multilevel"/>
    <w:tmpl w:val="1D2E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86570"/>
    <w:multiLevelType w:val="multilevel"/>
    <w:tmpl w:val="A41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84224"/>
    <w:multiLevelType w:val="multilevel"/>
    <w:tmpl w:val="61F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34816"/>
    <w:multiLevelType w:val="multilevel"/>
    <w:tmpl w:val="7C8A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02302"/>
    <w:multiLevelType w:val="multilevel"/>
    <w:tmpl w:val="7538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47B00"/>
    <w:multiLevelType w:val="multilevel"/>
    <w:tmpl w:val="1A50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D21F7"/>
    <w:multiLevelType w:val="multilevel"/>
    <w:tmpl w:val="86B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E0E4F"/>
    <w:multiLevelType w:val="multilevel"/>
    <w:tmpl w:val="561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E6233"/>
    <w:multiLevelType w:val="multilevel"/>
    <w:tmpl w:val="096A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AE5D4F"/>
    <w:multiLevelType w:val="multilevel"/>
    <w:tmpl w:val="CD0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61EB7"/>
    <w:multiLevelType w:val="multilevel"/>
    <w:tmpl w:val="163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98001B"/>
    <w:multiLevelType w:val="multilevel"/>
    <w:tmpl w:val="5B5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E72E3"/>
    <w:multiLevelType w:val="multilevel"/>
    <w:tmpl w:val="7DB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92D09"/>
    <w:multiLevelType w:val="multilevel"/>
    <w:tmpl w:val="ECE8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22A42"/>
    <w:multiLevelType w:val="multilevel"/>
    <w:tmpl w:val="D2C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91C70"/>
    <w:multiLevelType w:val="multilevel"/>
    <w:tmpl w:val="4780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2783F"/>
    <w:multiLevelType w:val="multilevel"/>
    <w:tmpl w:val="AB1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01C9D"/>
    <w:multiLevelType w:val="multilevel"/>
    <w:tmpl w:val="C03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56EB5"/>
    <w:multiLevelType w:val="multilevel"/>
    <w:tmpl w:val="E71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B39EF"/>
    <w:multiLevelType w:val="multilevel"/>
    <w:tmpl w:val="7AE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2462A"/>
    <w:multiLevelType w:val="multilevel"/>
    <w:tmpl w:val="EEDC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B20E9"/>
    <w:multiLevelType w:val="multilevel"/>
    <w:tmpl w:val="7AB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701347">
    <w:abstractNumId w:val="19"/>
  </w:num>
  <w:num w:numId="2" w16cid:durableId="1527863151">
    <w:abstractNumId w:val="17"/>
  </w:num>
  <w:num w:numId="3" w16cid:durableId="467208631">
    <w:abstractNumId w:val="2"/>
  </w:num>
  <w:num w:numId="4" w16cid:durableId="144249599">
    <w:abstractNumId w:val="1"/>
  </w:num>
  <w:num w:numId="5" w16cid:durableId="1721784179">
    <w:abstractNumId w:val="21"/>
  </w:num>
  <w:num w:numId="6" w16cid:durableId="822545072">
    <w:abstractNumId w:val="5"/>
  </w:num>
  <w:num w:numId="7" w16cid:durableId="1391343195">
    <w:abstractNumId w:val="16"/>
  </w:num>
  <w:num w:numId="8" w16cid:durableId="101924951">
    <w:abstractNumId w:val="14"/>
  </w:num>
  <w:num w:numId="9" w16cid:durableId="2046636973">
    <w:abstractNumId w:val="6"/>
  </w:num>
  <w:num w:numId="10" w16cid:durableId="1577930984">
    <w:abstractNumId w:val="12"/>
  </w:num>
  <w:num w:numId="11" w16cid:durableId="1009792456">
    <w:abstractNumId w:val="7"/>
  </w:num>
  <w:num w:numId="12" w16cid:durableId="1916209323">
    <w:abstractNumId w:val="22"/>
  </w:num>
  <w:num w:numId="13" w16cid:durableId="677927075">
    <w:abstractNumId w:val="9"/>
  </w:num>
  <w:num w:numId="14" w16cid:durableId="1643849366">
    <w:abstractNumId w:val="8"/>
  </w:num>
  <w:num w:numId="15" w16cid:durableId="536041859">
    <w:abstractNumId w:val="25"/>
  </w:num>
  <w:num w:numId="16" w16cid:durableId="1434743521">
    <w:abstractNumId w:val="18"/>
  </w:num>
  <w:num w:numId="17" w16cid:durableId="1328441466">
    <w:abstractNumId w:val="23"/>
  </w:num>
  <w:num w:numId="18" w16cid:durableId="8069719">
    <w:abstractNumId w:val="24"/>
  </w:num>
  <w:num w:numId="19" w16cid:durableId="326252494">
    <w:abstractNumId w:val="4"/>
  </w:num>
  <w:num w:numId="20" w16cid:durableId="2087729138">
    <w:abstractNumId w:val="0"/>
  </w:num>
  <w:num w:numId="21" w16cid:durableId="1706521672">
    <w:abstractNumId w:val="3"/>
  </w:num>
  <w:num w:numId="22" w16cid:durableId="878516174">
    <w:abstractNumId w:val="10"/>
  </w:num>
  <w:num w:numId="23" w16cid:durableId="112676928">
    <w:abstractNumId w:val="11"/>
  </w:num>
  <w:num w:numId="24" w16cid:durableId="1547831194">
    <w:abstractNumId w:val="26"/>
  </w:num>
  <w:num w:numId="25" w16cid:durableId="1519347683">
    <w:abstractNumId w:val="15"/>
  </w:num>
  <w:num w:numId="26" w16cid:durableId="1150095265">
    <w:abstractNumId w:val="13"/>
  </w:num>
  <w:num w:numId="27" w16cid:durableId="7130381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20"/>
    <w:rsid w:val="000111D4"/>
    <w:rsid w:val="002E6066"/>
    <w:rsid w:val="00371B20"/>
    <w:rsid w:val="006D49B1"/>
    <w:rsid w:val="00900DAD"/>
    <w:rsid w:val="00CB5058"/>
    <w:rsid w:val="00E62E11"/>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E0B1"/>
  <w15:chartTrackingRefBased/>
  <w15:docId w15:val="{033A58E8-BA45-2246-A85D-9C3D5E6E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1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1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1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1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20"/>
    <w:rPr>
      <w:rFonts w:eastAsiaTheme="majorEastAsia" w:cstheme="majorBidi"/>
      <w:color w:val="272727" w:themeColor="text1" w:themeTint="D8"/>
    </w:rPr>
  </w:style>
  <w:style w:type="paragraph" w:styleId="Title">
    <w:name w:val="Title"/>
    <w:basedOn w:val="Normal"/>
    <w:next w:val="Normal"/>
    <w:link w:val="TitleChar"/>
    <w:uiPriority w:val="10"/>
    <w:qFormat/>
    <w:rsid w:val="00371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20"/>
    <w:pPr>
      <w:spacing w:before="160"/>
      <w:jc w:val="center"/>
    </w:pPr>
    <w:rPr>
      <w:i/>
      <w:iCs/>
      <w:color w:val="404040" w:themeColor="text1" w:themeTint="BF"/>
    </w:rPr>
  </w:style>
  <w:style w:type="character" w:customStyle="1" w:styleId="QuoteChar">
    <w:name w:val="Quote Char"/>
    <w:basedOn w:val="DefaultParagraphFont"/>
    <w:link w:val="Quote"/>
    <w:uiPriority w:val="29"/>
    <w:rsid w:val="00371B20"/>
    <w:rPr>
      <w:i/>
      <w:iCs/>
      <w:color w:val="404040" w:themeColor="text1" w:themeTint="BF"/>
    </w:rPr>
  </w:style>
  <w:style w:type="paragraph" w:styleId="ListParagraph">
    <w:name w:val="List Paragraph"/>
    <w:basedOn w:val="Normal"/>
    <w:uiPriority w:val="34"/>
    <w:qFormat/>
    <w:rsid w:val="00371B20"/>
    <w:pPr>
      <w:ind w:left="720"/>
      <w:contextualSpacing/>
    </w:pPr>
  </w:style>
  <w:style w:type="character" w:styleId="IntenseEmphasis">
    <w:name w:val="Intense Emphasis"/>
    <w:basedOn w:val="DefaultParagraphFont"/>
    <w:uiPriority w:val="21"/>
    <w:qFormat/>
    <w:rsid w:val="00371B20"/>
    <w:rPr>
      <w:i/>
      <w:iCs/>
      <w:color w:val="0F4761" w:themeColor="accent1" w:themeShade="BF"/>
    </w:rPr>
  </w:style>
  <w:style w:type="paragraph" w:styleId="IntenseQuote">
    <w:name w:val="Intense Quote"/>
    <w:basedOn w:val="Normal"/>
    <w:next w:val="Normal"/>
    <w:link w:val="IntenseQuoteChar"/>
    <w:uiPriority w:val="30"/>
    <w:qFormat/>
    <w:rsid w:val="00371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B20"/>
    <w:rPr>
      <w:i/>
      <w:iCs/>
      <w:color w:val="0F4761" w:themeColor="accent1" w:themeShade="BF"/>
    </w:rPr>
  </w:style>
  <w:style w:type="character" w:styleId="IntenseReference">
    <w:name w:val="Intense Reference"/>
    <w:basedOn w:val="DefaultParagraphFont"/>
    <w:uiPriority w:val="32"/>
    <w:qFormat/>
    <w:rsid w:val="00371B20"/>
    <w:rPr>
      <w:b/>
      <w:bCs/>
      <w:smallCaps/>
      <w:color w:val="0F4761" w:themeColor="accent1" w:themeShade="BF"/>
      <w:spacing w:val="5"/>
    </w:rPr>
  </w:style>
  <w:style w:type="paragraph" w:styleId="NormalWeb">
    <w:name w:val="Normal (Web)"/>
    <w:basedOn w:val="Normal"/>
    <w:uiPriority w:val="99"/>
    <w:semiHidden/>
    <w:unhideWhenUsed/>
    <w:rsid w:val="00371B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1B20"/>
    <w:rPr>
      <w:b/>
      <w:bCs/>
    </w:rPr>
  </w:style>
  <w:style w:type="character" w:styleId="Emphasis">
    <w:name w:val="Emphasis"/>
    <w:basedOn w:val="DefaultParagraphFont"/>
    <w:uiPriority w:val="20"/>
    <w:qFormat/>
    <w:rsid w:val="00371B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1598</Words>
  <Characters>9113</Characters>
  <Application>Microsoft Office Word</Application>
  <DocSecurity>0</DocSecurity>
  <Lines>75</Lines>
  <Paragraphs>21</Paragraphs>
  <ScaleCrop>false</ScaleCrop>
  <Company/>
  <LinksUpToDate>false</LinksUpToDate>
  <CharactersWithSpaces>10690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2025-09-25T18:42:00Z</dcterms:created>
  <dcterms:modified xsi:type="dcterms:W3CDTF">2025-09-25T18:42:00Z</dcterms:modified>
</cp:coreProperties>
</file>