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D2506" w14:textId="44C3E66F" w:rsidR="00440622" w:rsidRPr="002131AD" w:rsidRDefault="00440622" w:rsidP="00440622">
      <w:bookmarkStart w:id="0" w:name="_Hlk73126815"/>
      <w:bookmarkStart w:id="1" w:name="_Toc72855715"/>
      <w:bookmarkStart w:id="2" w:name="_Toc72855672"/>
      <w:bookmarkEnd w:id="0"/>
      <w:r w:rsidRPr="002131A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F4A8ED1" wp14:editId="353635D1">
            <wp:simplePos x="0" y="0"/>
            <wp:positionH relativeFrom="column">
              <wp:posOffset>1894840</wp:posOffset>
            </wp:positionH>
            <wp:positionV relativeFrom="paragraph">
              <wp:posOffset>82550</wp:posOffset>
            </wp:positionV>
            <wp:extent cx="2308860" cy="1924050"/>
            <wp:effectExtent l="0" t="0" r="0" b="0"/>
            <wp:wrapSquare wrapText="bothSides"/>
            <wp:docPr id="179351686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D7A400" w14:textId="044236F1" w:rsidR="002305F7" w:rsidRPr="002131AD" w:rsidRDefault="00440622" w:rsidP="00440622">
      <w:pPr>
        <w:tabs>
          <w:tab w:val="left" w:pos="3570"/>
        </w:tabs>
      </w:pPr>
      <w:r w:rsidRPr="002131AD">
        <w:tab/>
      </w:r>
      <w:r w:rsidRPr="002131AD">
        <w:br w:type="textWrapping" w:clear="all"/>
      </w:r>
    </w:p>
    <w:p w14:paraId="1BB59F5B" w14:textId="77777777" w:rsidR="006E2D99" w:rsidRPr="002131AD" w:rsidRDefault="006E2D99" w:rsidP="002305F7">
      <w:pPr>
        <w:jc w:val="center"/>
        <w:rPr>
          <w:rFonts w:ascii="Calibri" w:eastAsia="Calibri" w:hAnsi="Calibri" w:cs="Times New Roman"/>
          <w:noProof/>
        </w:rPr>
      </w:pPr>
    </w:p>
    <w:p w14:paraId="53196B51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 w:val="40"/>
          <w:szCs w:val="20"/>
        </w:rPr>
      </w:pPr>
      <w:r w:rsidRPr="002131AD">
        <w:rPr>
          <w:rFonts w:cstheme="minorHAnsi"/>
          <w:b/>
          <w:sz w:val="40"/>
          <w:szCs w:val="20"/>
        </w:rPr>
        <w:t>ΚΑΝΟΝΙΣΜΟΣ ΛΕΙΤΟΥΡΓΙΑΣ</w:t>
      </w:r>
    </w:p>
    <w:p w14:paraId="1136F418" w14:textId="3BC7B77E" w:rsidR="002305F7" w:rsidRPr="002131AD" w:rsidRDefault="00EE57F8" w:rsidP="002305F7">
      <w:pPr>
        <w:spacing w:before="240" w:line="276" w:lineRule="auto"/>
        <w:jc w:val="center"/>
        <w:rPr>
          <w:rFonts w:cstheme="minorHAnsi"/>
          <w:b/>
          <w:sz w:val="40"/>
          <w:szCs w:val="20"/>
        </w:rPr>
      </w:pPr>
      <w:r w:rsidRPr="002131AD">
        <w:rPr>
          <w:rFonts w:cstheme="minorHAnsi"/>
          <w:b/>
          <w:sz w:val="40"/>
          <w:szCs w:val="20"/>
        </w:rPr>
        <w:t xml:space="preserve">ΥΠΗΡΕΣΙΑΣ </w:t>
      </w:r>
      <w:r w:rsidR="002305F7" w:rsidRPr="002131AD">
        <w:rPr>
          <w:rFonts w:cstheme="minorHAnsi"/>
          <w:b/>
          <w:sz w:val="40"/>
          <w:szCs w:val="20"/>
        </w:rPr>
        <w:t>ΔΙΑΧΕΙΡΙΣΗΣ ΚΙΝΔΥΝΩΝ</w:t>
      </w:r>
    </w:p>
    <w:p w14:paraId="043F0541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Cs w:val="20"/>
        </w:rPr>
      </w:pPr>
    </w:p>
    <w:p w14:paraId="00B93B80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Cs w:val="20"/>
        </w:rPr>
      </w:pPr>
    </w:p>
    <w:p w14:paraId="5D2C4968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Cs w:val="20"/>
        </w:rPr>
      </w:pPr>
    </w:p>
    <w:p w14:paraId="0709058F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Cs w:val="20"/>
        </w:rPr>
      </w:pPr>
    </w:p>
    <w:p w14:paraId="0026F7AD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Cs w:val="20"/>
        </w:rPr>
      </w:pPr>
    </w:p>
    <w:p w14:paraId="71F84837" w14:textId="0233F3AB" w:rsidR="002305F7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32"/>
          <w:szCs w:val="20"/>
        </w:rPr>
      </w:pPr>
      <w:bookmarkStart w:id="3" w:name="_Hlk152233611"/>
      <w:r w:rsidRPr="002131AD">
        <w:rPr>
          <w:rFonts w:cstheme="minorHAnsi"/>
          <w:b/>
          <w:sz w:val="32"/>
          <w:szCs w:val="20"/>
        </w:rPr>
        <w:t>ΝΟΕΜΒΡΙΟΣ</w:t>
      </w:r>
      <w:r w:rsidR="00AF1AD1" w:rsidRPr="002131AD">
        <w:rPr>
          <w:rFonts w:cstheme="minorHAnsi"/>
          <w:b/>
          <w:sz w:val="32"/>
          <w:szCs w:val="20"/>
        </w:rPr>
        <w:t xml:space="preserve"> </w:t>
      </w:r>
      <w:r w:rsidR="002305F7" w:rsidRPr="002131AD">
        <w:rPr>
          <w:rFonts w:cstheme="minorHAnsi"/>
          <w:b/>
          <w:sz w:val="32"/>
          <w:szCs w:val="20"/>
        </w:rPr>
        <w:t>202</w:t>
      </w:r>
      <w:r w:rsidRPr="002131AD">
        <w:rPr>
          <w:rFonts w:cstheme="minorHAnsi"/>
          <w:b/>
          <w:sz w:val="32"/>
          <w:szCs w:val="20"/>
        </w:rPr>
        <w:t>3</w:t>
      </w:r>
    </w:p>
    <w:p w14:paraId="5CF751CD" w14:textId="77777777" w:rsidR="002305F7" w:rsidRPr="002131AD" w:rsidRDefault="002305F7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27130508" w14:textId="77777777" w:rsidR="006E2D99" w:rsidRPr="002131AD" w:rsidRDefault="006E2D99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7B882A7A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62BB57A4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47B0AEF1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4D78FE98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6A749BBB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5EEE6780" w14:textId="77777777" w:rsidR="00440622" w:rsidRPr="002131AD" w:rsidRDefault="00440622" w:rsidP="002305F7">
      <w:pPr>
        <w:spacing w:before="240" w:line="276" w:lineRule="auto"/>
        <w:jc w:val="center"/>
        <w:rPr>
          <w:rFonts w:cstheme="minorHAnsi"/>
          <w:b/>
          <w:sz w:val="28"/>
          <w:szCs w:val="20"/>
        </w:rPr>
      </w:pPr>
    </w:p>
    <w:p w14:paraId="4D9F852B" w14:textId="77777777" w:rsidR="00440622" w:rsidRPr="002131AD" w:rsidRDefault="00440622" w:rsidP="00440622">
      <w:pPr>
        <w:jc w:val="center"/>
        <w:rPr>
          <w:rFonts w:cstheme="minorHAnsi"/>
          <w:b/>
          <w:sz w:val="24"/>
          <w:szCs w:val="20"/>
        </w:rPr>
      </w:pPr>
      <w:r w:rsidRPr="002131AD">
        <w:rPr>
          <w:rFonts w:cstheme="minorHAnsi"/>
          <w:b/>
          <w:sz w:val="24"/>
          <w:szCs w:val="20"/>
        </w:rPr>
        <w:lastRenderedPageBreak/>
        <w:t>ΠΙΝΑΚΑΣ ΑΝΑΘΕΩΡΗΣΕΩΝ ΕΓΓΡΑΦΟΥ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4"/>
        <w:gridCol w:w="2212"/>
        <w:gridCol w:w="2110"/>
        <w:gridCol w:w="1732"/>
        <w:gridCol w:w="1732"/>
      </w:tblGrid>
      <w:tr w:rsidR="00440622" w:rsidRPr="002131AD" w14:paraId="033A33C1" w14:textId="0E2D1C80" w:rsidTr="00440622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ABF8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Α/Α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31C5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Ημερομηνία σύνταξης / αναθεώρησης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22F6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Σύντομη περιγραφή αλλαγής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4F8A" w14:textId="4B8E40CA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Εισήγηση από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1996" w14:textId="0E4B2410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 xml:space="preserve">Έγκριση από </w:t>
            </w:r>
          </w:p>
        </w:tc>
      </w:tr>
      <w:tr w:rsidR="00440622" w:rsidRPr="002131AD" w14:paraId="4BE1DB3E" w14:textId="06018D73" w:rsidTr="00440622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144E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Έκδοση 1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E016" w14:textId="3289634C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val="en-US" w:eastAsia="el-GR"/>
              </w:rPr>
            </w:pPr>
            <w:r w:rsidRPr="002131AD">
              <w:rPr>
                <w:rFonts w:asciiTheme="minorHAnsi" w:hAnsiTheme="minorHAnsi" w:cstheme="minorHAnsi"/>
                <w:b/>
                <w:lang w:val="en-US" w:eastAsia="el-GR"/>
              </w:rPr>
              <w:t>30.11.2023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7E30" w14:textId="03507B2C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Αρχική έκδοση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60CA" w14:textId="025B95FF" w:rsidR="00440622" w:rsidRPr="002131AD" w:rsidRDefault="009B5D5C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 xml:space="preserve">Υπεύθυνος </w:t>
            </w:r>
            <w:r w:rsidR="00440622" w:rsidRPr="002131AD">
              <w:rPr>
                <w:rFonts w:asciiTheme="minorHAnsi" w:hAnsiTheme="minorHAnsi" w:cstheme="minorHAnsi"/>
                <w:b/>
                <w:lang w:eastAsia="el-GR"/>
              </w:rPr>
              <w:t>Υπηρεσία</w:t>
            </w:r>
            <w:r w:rsidRPr="002131AD">
              <w:rPr>
                <w:rFonts w:asciiTheme="minorHAnsi" w:hAnsiTheme="minorHAnsi" w:cstheme="minorHAnsi"/>
                <w:b/>
                <w:lang w:eastAsia="el-GR"/>
              </w:rPr>
              <w:t>ς</w:t>
            </w:r>
            <w:r w:rsidR="00440622" w:rsidRPr="002131AD">
              <w:rPr>
                <w:rFonts w:asciiTheme="minorHAnsi" w:hAnsiTheme="minorHAnsi" w:cstheme="minorHAnsi"/>
                <w:b/>
                <w:lang w:eastAsia="el-GR"/>
              </w:rPr>
              <w:t xml:space="preserve"> Διαχείρισης Κινδύνων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354B" w14:textId="762F802D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Διοικητικό Συμβούλιο</w:t>
            </w:r>
          </w:p>
        </w:tc>
      </w:tr>
      <w:tr w:rsidR="00440622" w:rsidRPr="002131AD" w14:paraId="54D39ED0" w14:textId="77B540C8" w:rsidTr="00440622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B144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  <w:r w:rsidRPr="002131AD">
              <w:rPr>
                <w:rFonts w:asciiTheme="minorHAnsi" w:hAnsiTheme="minorHAnsi" w:cstheme="minorHAnsi"/>
                <w:b/>
                <w:lang w:eastAsia="el-GR"/>
              </w:rPr>
              <w:t>Έκδοση 2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4C13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74F4" w14:textId="15BB8FA5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4AF6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1DE1" w14:textId="77777777" w:rsidR="00440622" w:rsidRPr="002131AD" w:rsidRDefault="00440622" w:rsidP="00F974B8">
            <w:pPr>
              <w:spacing w:before="240" w:line="276" w:lineRule="auto"/>
              <w:jc w:val="center"/>
              <w:rPr>
                <w:rFonts w:asciiTheme="minorHAnsi" w:hAnsiTheme="minorHAnsi" w:cstheme="minorHAnsi"/>
                <w:b/>
                <w:lang w:eastAsia="el-GR"/>
              </w:rPr>
            </w:pPr>
          </w:p>
        </w:tc>
      </w:tr>
    </w:tbl>
    <w:p w14:paraId="55807A29" w14:textId="77777777" w:rsidR="00440622" w:rsidRPr="002131AD" w:rsidRDefault="00440622" w:rsidP="00440622">
      <w:pPr>
        <w:spacing w:line="259" w:lineRule="auto"/>
      </w:pPr>
    </w:p>
    <w:p w14:paraId="3CDB669D" w14:textId="77777777" w:rsidR="00440622" w:rsidRPr="002131AD" w:rsidRDefault="00440622" w:rsidP="00440622">
      <w:pPr>
        <w:spacing w:line="259" w:lineRule="auto"/>
      </w:pPr>
    </w:p>
    <w:p w14:paraId="47FC6835" w14:textId="77777777" w:rsidR="00440622" w:rsidRPr="002131AD" w:rsidRDefault="00440622" w:rsidP="00440622">
      <w:pPr>
        <w:spacing w:line="259" w:lineRule="auto"/>
      </w:pPr>
      <w:r w:rsidRPr="002131AD">
        <w:br w:type="page"/>
      </w:r>
    </w:p>
    <w:bookmarkEnd w:id="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890179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6339B9" w14:textId="34F39E68" w:rsidR="002305F7" w:rsidRPr="002131AD" w:rsidRDefault="002305F7">
          <w:pPr>
            <w:pStyle w:val="TOCHeading"/>
            <w:rPr>
              <w:b/>
              <w:color w:val="auto"/>
              <w:lang w:val="el-GR"/>
            </w:rPr>
          </w:pPr>
          <w:r w:rsidRPr="002131AD">
            <w:rPr>
              <w:b/>
              <w:color w:val="auto"/>
              <w:lang w:val="el-GR"/>
            </w:rPr>
            <w:t>Π</w:t>
          </w:r>
          <w:r w:rsidR="007D0512" w:rsidRPr="002131AD">
            <w:rPr>
              <w:b/>
              <w:color w:val="auto"/>
              <w:lang w:val="el-GR"/>
            </w:rPr>
            <w:t>εριεχόμενα</w:t>
          </w:r>
        </w:p>
        <w:p w14:paraId="08156893" w14:textId="618B11D7" w:rsidR="00476753" w:rsidRPr="002131AD" w:rsidRDefault="002305F7" w:rsidP="00476753">
          <w:pPr>
            <w:pStyle w:val="TOC1"/>
            <w:tabs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r w:rsidRPr="002131AD">
            <w:fldChar w:fldCharType="begin"/>
          </w:r>
          <w:r w:rsidRPr="002131AD">
            <w:instrText xml:space="preserve"> TOC \o "1-3" \h \z \u </w:instrText>
          </w:r>
          <w:r w:rsidRPr="002131AD">
            <w:fldChar w:fldCharType="separate"/>
          </w:r>
        </w:p>
        <w:p w14:paraId="385984C1" w14:textId="7EA95E9A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3" w:history="1">
            <w:r w:rsidRPr="002131AD">
              <w:rPr>
                <w:rStyle w:val="Hyperlink"/>
                <w:rFonts w:cstheme="minorHAnsi"/>
                <w:b/>
                <w:noProof/>
              </w:rPr>
              <w:t>1.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Εισαγωγή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_Toc133501063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4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5D46A02D" w14:textId="65796D54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4" w:history="1">
            <w:r w:rsidRPr="002131AD">
              <w:rPr>
                <w:rStyle w:val="Hyperlink"/>
                <w:rFonts w:cstheme="minorHAnsi"/>
                <w:b/>
                <w:noProof/>
                <w:lang w:val="en-US"/>
              </w:rPr>
              <w:t>2.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  <w:lang w:val="en-US"/>
              </w:rPr>
              <w:t>Π</w:t>
            </w:r>
            <w:r w:rsidRPr="002131AD">
              <w:rPr>
                <w:rStyle w:val="Hyperlink"/>
                <w:rFonts w:cstheme="minorHAnsi"/>
                <w:b/>
                <w:noProof/>
              </w:rPr>
              <w:t>εδίο εφαρμογής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_Toc133501064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4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797BC3CC" w14:textId="62A48D3E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5" w:history="1">
            <w:r w:rsidRPr="002131AD">
              <w:rPr>
                <w:rStyle w:val="Hyperlink"/>
                <w:rFonts w:cstheme="minorHAnsi"/>
                <w:b/>
                <w:noProof/>
              </w:rPr>
              <w:t>3.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Έγκριση – Αναθεώρηση Κανονισμού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_Toc133501065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4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1C136711" w14:textId="5DFD4821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6" w:history="1">
            <w:r w:rsidRPr="002131AD">
              <w:rPr>
                <w:rStyle w:val="Hyperlink"/>
                <w:rFonts w:cstheme="minorHAnsi"/>
                <w:b/>
                <w:noProof/>
              </w:rPr>
              <w:t>4.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Υπηρεσία Διαχείρισης Κινδύνων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_Toc133501066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4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2F65B7B1" w14:textId="171B5A12" w:rsidR="00476753" w:rsidRPr="002131AD" w:rsidRDefault="00476753">
          <w:pPr>
            <w:pStyle w:val="TOC2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7" w:history="1">
            <w:r w:rsidRPr="002131AD">
              <w:rPr>
                <w:rStyle w:val="Hyperlink"/>
                <w:rFonts w:cstheme="minorHAnsi"/>
                <w:b/>
                <w:noProof/>
              </w:rPr>
              <w:t>4.1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Οργανωτική δομή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_Toc133501067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4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6C44C3D6" w14:textId="3498646B" w:rsidR="00476753" w:rsidRPr="002131AD" w:rsidRDefault="00476753">
          <w:pPr>
            <w:pStyle w:val="TOC2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8" w:history="1">
            <w:r w:rsidRPr="002131AD">
              <w:rPr>
                <w:rStyle w:val="Hyperlink"/>
                <w:rFonts w:cstheme="minorHAnsi"/>
                <w:b/>
                <w:noProof/>
              </w:rPr>
              <w:t>4.2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Αρμοδιότητες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_Toc133501068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5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2519CDF9" w14:textId="2808B1A7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69" w:history="1">
            <w:r w:rsidRPr="002131AD">
              <w:rPr>
                <w:rStyle w:val="Hyperlink"/>
                <w:rFonts w:cstheme="minorHAnsi"/>
                <w:b/>
                <w:noProof/>
              </w:rPr>
              <w:t>5.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Υπεύθυνος Υπηρεσίας Διαχείρισης Κινδύνων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_Toc133501069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6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69FF8C37" w14:textId="7D0D83A4" w:rsidR="00476753" w:rsidRPr="002131AD" w:rsidRDefault="00476753">
          <w:pPr>
            <w:pStyle w:val="TOC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el-GR"/>
            </w:rPr>
          </w:pPr>
          <w:hyperlink w:anchor="_Toc133501070" w:history="1">
            <w:r w:rsidRPr="002131AD">
              <w:rPr>
                <w:rStyle w:val="Hyperlink"/>
                <w:rFonts w:cstheme="minorHAnsi"/>
                <w:b/>
                <w:noProof/>
              </w:rPr>
              <w:t>6.</w:t>
            </w:r>
            <w:r w:rsidRPr="002131AD">
              <w:rPr>
                <w:rFonts w:eastAsiaTheme="minorEastAsia"/>
                <w:noProof/>
                <w:lang w:eastAsia="el-GR"/>
              </w:rPr>
              <w:tab/>
            </w:r>
            <w:r w:rsidRPr="002131AD">
              <w:rPr>
                <w:rStyle w:val="Hyperlink"/>
                <w:rFonts w:cstheme="minorHAnsi"/>
                <w:b/>
                <w:noProof/>
              </w:rPr>
              <w:t>Ισχύς</w:t>
            </w:r>
            <w:r w:rsidRPr="002131AD">
              <w:rPr>
                <w:noProof/>
                <w:webHidden/>
              </w:rPr>
              <w:tab/>
            </w:r>
            <w:r w:rsidRPr="002131AD">
              <w:rPr>
                <w:noProof/>
                <w:webHidden/>
              </w:rPr>
              <w:fldChar w:fldCharType="begin"/>
            </w:r>
            <w:r w:rsidRPr="002131AD">
              <w:rPr>
                <w:noProof/>
                <w:webHidden/>
              </w:rPr>
              <w:instrText xml:space="preserve"> PAGEREF _Toc133501070 \h </w:instrText>
            </w:r>
            <w:r w:rsidRPr="002131AD">
              <w:rPr>
                <w:noProof/>
                <w:webHidden/>
              </w:rPr>
            </w:r>
            <w:r w:rsidRPr="002131AD">
              <w:rPr>
                <w:noProof/>
                <w:webHidden/>
              </w:rPr>
              <w:fldChar w:fldCharType="separate"/>
            </w:r>
            <w:r w:rsidR="00BD1B81">
              <w:rPr>
                <w:noProof/>
                <w:webHidden/>
              </w:rPr>
              <w:t>6</w:t>
            </w:r>
            <w:r w:rsidRPr="002131AD">
              <w:rPr>
                <w:noProof/>
                <w:webHidden/>
              </w:rPr>
              <w:fldChar w:fldCharType="end"/>
            </w:r>
          </w:hyperlink>
        </w:p>
        <w:p w14:paraId="53302E10" w14:textId="0BB3141E" w:rsidR="002305F7" w:rsidRPr="002131AD" w:rsidRDefault="002305F7">
          <w:r w:rsidRPr="002131AD">
            <w:rPr>
              <w:b/>
              <w:bCs/>
              <w:noProof/>
            </w:rPr>
            <w:fldChar w:fldCharType="end"/>
          </w:r>
        </w:p>
      </w:sdtContent>
    </w:sdt>
    <w:p w14:paraId="7A640F59" w14:textId="77777777" w:rsidR="002305F7" w:rsidRPr="002131AD" w:rsidRDefault="002305F7">
      <w:pPr>
        <w:spacing w:line="259" w:lineRule="auto"/>
        <w:rPr>
          <w:lang w:val="en-US"/>
        </w:rPr>
      </w:pPr>
    </w:p>
    <w:p w14:paraId="6BADCCFB" w14:textId="77777777" w:rsidR="002305F7" w:rsidRPr="002131AD" w:rsidRDefault="002305F7">
      <w:pPr>
        <w:spacing w:line="259" w:lineRule="auto"/>
      </w:pPr>
    </w:p>
    <w:p w14:paraId="059D9892" w14:textId="77777777" w:rsidR="002305F7" w:rsidRPr="002131AD" w:rsidRDefault="002305F7">
      <w:pPr>
        <w:spacing w:line="259" w:lineRule="auto"/>
      </w:pPr>
    </w:p>
    <w:p w14:paraId="38486745" w14:textId="77777777" w:rsidR="00440622" w:rsidRPr="002131AD" w:rsidRDefault="00440622">
      <w:pPr>
        <w:spacing w:line="259" w:lineRule="auto"/>
      </w:pPr>
    </w:p>
    <w:p w14:paraId="5F7ADDA7" w14:textId="77777777" w:rsidR="00440622" w:rsidRPr="002131AD" w:rsidRDefault="00440622">
      <w:pPr>
        <w:spacing w:line="259" w:lineRule="auto"/>
      </w:pPr>
    </w:p>
    <w:p w14:paraId="12996467" w14:textId="77777777" w:rsidR="00440622" w:rsidRPr="002131AD" w:rsidRDefault="00440622">
      <w:pPr>
        <w:spacing w:line="259" w:lineRule="auto"/>
      </w:pPr>
    </w:p>
    <w:p w14:paraId="3BCD5706" w14:textId="77777777" w:rsidR="00440622" w:rsidRPr="002131AD" w:rsidRDefault="00440622">
      <w:pPr>
        <w:spacing w:line="259" w:lineRule="auto"/>
      </w:pPr>
    </w:p>
    <w:p w14:paraId="7C899BCD" w14:textId="77777777" w:rsidR="00440622" w:rsidRPr="002131AD" w:rsidRDefault="00440622">
      <w:pPr>
        <w:spacing w:line="259" w:lineRule="auto"/>
      </w:pPr>
    </w:p>
    <w:p w14:paraId="75236207" w14:textId="77777777" w:rsidR="00440622" w:rsidRPr="002131AD" w:rsidRDefault="00440622">
      <w:pPr>
        <w:spacing w:line="259" w:lineRule="auto"/>
      </w:pPr>
    </w:p>
    <w:p w14:paraId="09F73F1E" w14:textId="77777777" w:rsidR="00440622" w:rsidRPr="002131AD" w:rsidRDefault="00440622">
      <w:pPr>
        <w:spacing w:line="259" w:lineRule="auto"/>
      </w:pPr>
    </w:p>
    <w:p w14:paraId="59819791" w14:textId="77777777" w:rsidR="00440622" w:rsidRPr="002131AD" w:rsidRDefault="00440622">
      <w:pPr>
        <w:spacing w:line="259" w:lineRule="auto"/>
      </w:pPr>
    </w:p>
    <w:p w14:paraId="72B94C95" w14:textId="77777777" w:rsidR="00440622" w:rsidRPr="002131AD" w:rsidRDefault="00440622">
      <w:pPr>
        <w:spacing w:line="259" w:lineRule="auto"/>
      </w:pPr>
    </w:p>
    <w:p w14:paraId="501BA2A7" w14:textId="77777777" w:rsidR="00440622" w:rsidRPr="002131AD" w:rsidRDefault="00440622">
      <w:pPr>
        <w:spacing w:line="259" w:lineRule="auto"/>
      </w:pPr>
    </w:p>
    <w:p w14:paraId="6E5E6371" w14:textId="77777777" w:rsidR="00440622" w:rsidRPr="002131AD" w:rsidRDefault="00440622">
      <w:pPr>
        <w:spacing w:line="259" w:lineRule="auto"/>
      </w:pPr>
    </w:p>
    <w:p w14:paraId="6DC66CEB" w14:textId="77777777" w:rsidR="00440622" w:rsidRPr="002131AD" w:rsidRDefault="00440622">
      <w:pPr>
        <w:spacing w:line="259" w:lineRule="auto"/>
      </w:pPr>
    </w:p>
    <w:p w14:paraId="741DD459" w14:textId="77777777" w:rsidR="00440622" w:rsidRPr="002131AD" w:rsidRDefault="00440622">
      <w:pPr>
        <w:spacing w:line="259" w:lineRule="auto"/>
      </w:pPr>
    </w:p>
    <w:p w14:paraId="6081F499" w14:textId="77777777" w:rsidR="00440622" w:rsidRPr="002131AD" w:rsidRDefault="00440622">
      <w:pPr>
        <w:spacing w:line="259" w:lineRule="auto"/>
      </w:pPr>
    </w:p>
    <w:p w14:paraId="0158C4C8" w14:textId="77777777" w:rsidR="00440622" w:rsidRPr="002131AD" w:rsidRDefault="00440622">
      <w:pPr>
        <w:spacing w:line="259" w:lineRule="auto"/>
      </w:pPr>
    </w:p>
    <w:p w14:paraId="5DA1BFDB" w14:textId="77777777" w:rsidR="00440622" w:rsidRPr="002131AD" w:rsidRDefault="00440622">
      <w:pPr>
        <w:spacing w:line="259" w:lineRule="auto"/>
      </w:pPr>
    </w:p>
    <w:p w14:paraId="23250E15" w14:textId="77777777" w:rsidR="00440622" w:rsidRPr="002131AD" w:rsidRDefault="00440622">
      <w:pPr>
        <w:spacing w:line="259" w:lineRule="auto"/>
      </w:pPr>
    </w:p>
    <w:p w14:paraId="4D0CB67C" w14:textId="77777777" w:rsidR="00440622" w:rsidRPr="002131AD" w:rsidRDefault="00440622">
      <w:pPr>
        <w:spacing w:line="259" w:lineRule="auto"/>
      </w:pPr>
    </w:p>
    <w:p w14:paraId="7CB9D7EA" w14:textId="6CD35F71" w:rsidR="002305F7" w:rsidRPr="002131AD" w:rsidRDefault="002305F7" w:rsidP="00A43F21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 w:val="24"/>
        </w:rPr>
      </w:pPr>
      <w:bookmarkStart w:id="4" w:name="_Toc133501063"/>
      <w:r w:rsidRPr="002131AD">
        <w:rPr>
          <w:rFonts w:asciiTheme="minorHAnsi" w:hAnsiTheme="minorHAnsi" w:cstheme="minorHAnsi"/>
          <w:b/>
          <w:color w:val="auto"/>
          <w:sz w:val="24"/>
        </w:rPr>
        <w:lastRenderedPageBreak/>
        <w:t>Ε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>ισαγωγή</w:t>
      </w:r>
      <w:bookmarkEnd w:id="4"/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  <w:bookmarkEnd w:id="1"/>
      <w:bookmarkEnd w:id="2"/>
    </w:p>
    <w:p w14:paraId="25BA0AD4" w14:textId="77777777" w:rsidR="00345FE2" w:rsidRPr="002131AD" w:rsidRDefault="00345FE2" w:rsidP="00345FE2"/>
    <w:p w14:paraId="022C496A" w14:textId="7BEEDB84" w:rsidR="00EE57F8" w:rsidRPr="002131AD" w:rsidRDefault="00EE57F8" w:rsidP="00EE57F8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Η Διαχείριση Κινδύνων είναι μία συνεχής και επαναληπτική διαδικασία η οποία επιτρέπει στη Διοίκηση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 να εντοπί</w:t>
      </w:r>
      <w:r w:rsidR="00440622" w:rsidRPr="002131AD">
        <w:rPr>
          <w:rFonts w:cstheme="minorHAnsi"/>
        </w:rPr>
        <w:t>ζ</w:t>
      </w:r>
      <w:r w:rsidRPr="002131AD">
        <w:rPr>
          <w:rFonts w:cstheme="minorHAnsi"/>
        </w:rPr>
        <w:t xml:space="preserve">ει, </w:t>
      </w:r>
      <w:r w:rsidR="00440622" w:rsidRPr="002131AD">
        <w:rPr>
          <w:rFonts w:cstheme="minorHAnsi"/>
        </w:rPr>
        <w:t xml:space="preserve">να </w:t>
      </w:r>
      <w:r w:rsidRPr="002131AD">
        <w:rPr>
          <w:rFonts w:cstheme="minorHAnsi"/>
        </w:rPr>
        <w:t>αξιολογ</w:t>
      </w:r>
      <w:r w:rsidR="00440622" w:rsidRPr="002131AD">
        <w:rPr>
          <w:rFonts w:cstheme="minorHAnsi"/>
        </w:rPr>
        <w:t>εί</w:t>
      </w:r>
      <w:r w:rsidRPr="002131AD">
        <w:rPr>
          <w:rFonts w:cstheme="minorHAnsi"/>
        </w:rPr>
        <w:t xml:space="preserve"> και </w:t>
      </w:r>
      <w:r w:rsidR="00440622" w:rsidRPr="002131AD">
        <w:rPr>
          <w:rFonts w:cstheme="minorHAnsi"/>
        </w:rPr>
        <w:t>να διαχειρίζεται</w:t>
      </w:r>
      <w:r w:rsidRPr="002131AD">
        <w:rPr>
          <w:rFonts w:cstheme="minorHAnsi"/>
        </w:rPr>
        <w:t xml:space="preserve"> τους κινδύνους και τις αβεβαιότητες. Η διαδικασία αυτή είναι απόλυτα συνδεμένη με την επίτευξη των στρατηγικών </w:t>
      </w:r>
      <w:r w:rsidR="00440622" w:rsidRPr="002131AD">
        <w:rPr>
          <w:rFonts w:cstheme="minorHAnsi"/>
        </w:rPr>
        <w:t xml:space="preserve">και επιχειρησιακών </w:t>
      </w:r>
      <w:r w:rsidRPr="002131AD">
        <w:rPr>
          <w:rFonts w:cstheme="minorHAnsi"/>
        </w:rPr>
        <w:t xml:space="preserve">στόχων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 και με τη διατήρηση και την αύξηση της αξίας της. Η Διαδικασία Διαχείρισης Κινδύνων συνίσταται από την κουλτούρα, τις αξίες, τις δυνατότητες, τις πολιτικές, διαδικασίες και πρακτικές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 και λειτουργεί σε συνδυασμό με την διαμόρφωση στρατηγικής και την επίτευξη των στόχων της.    </w:t>
      </w:r>
    </w:p>
    <w:p w14:paraId="16FA7660" w14:textId="5B9D110A" w:rsidR="00967B51" w:rsidRPr="002131AD" w:rsidRDefault="00967B51" w:rsidP="00967B51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Η αποτελεσματική διαχείριση των κινδύνων αποτελεί προϋπόθεση για μια χρηστή εταιρική διακυβέρνηση και </w:t>
      </w:r>
      <w:r w:rsidR="009B5D5C" w:rsidRPr="002131AD">
        <w:rPr>
          <w:rFonts w:cstheme="minorHAnsi"/>
        </w:rPr>
        <w:t>συμβάλει στην βελτίωση της</w:t>
      </w:r>
      <w:r w:rsidRPr="002131AD">
        <w:rPr>
          <w:rFonts w:cstheme="minorHAnsi"/>
        </w:rPr>
        <w:t xml:space="preserve"> αποτελεσματικότητα</w:t>
      </w:r>
      <w:r w:rsidR="009B5D5C" w:rsidRPr="002131AD">
        <w:rPr>
          <w:rFonts w:cstheme="minorHAnsi"/>
        </w:rPr>
        <w:t>ς</w:t>
      </w:r>
      <w:r w:rsidRPr="002131AD">
        <w:rPr>
          <w:rFonts w:cstheme="minorHAnsi"/>
        </w:rPr>
        <w:t xml:space="preserve"> και </w:t>
      </w:r>
      <w:r w:rsidR="009B5D5C" w:rsidRPr="002131AD">
        <w:rPr>
          <w:rFonts w:cstheme="minorHAnsi"/>
        </w:rPr>
        <w:t>της</w:t>
      </w:r>
      <w:r w:rsidRPr="002131AD">
        <w:rPr>
          <w:rFonts w:cstheme="minorHAnsi"/>
        </w:rPr>
        <w:t xml:space="preserve"> επιχειρησιακή</w:t>
      </w:r>
      <w:r w:rsidR="009B5D5C" w:rsidRPr="002131AD">
        <w:rPr>
          <w:rFonts w:cstheme="minorHAnsi"/>
        </w:rPr>
        <w:t>ς</w:t>
      </w:r>
      <w:r w:rsidRPr="002131AD">
        <w:rPr>
          <w:rFonts w:cstheme="minorHAnsi"/>
        </w:rPr>
        <w:t xml:space="preserve"> </w:t>
      </w:r>
      <w:r w:rsidR="009B5D5C" w:rsidRPr="002131AD">
        <w:rPr>
          <w:rFonts w:cstheme="minorHAnsi"/>
        </w:rPr>
        <w:t>επί</w:t>
      </w:r>
      <w:r w:rsidRPr="002131AD">
        <w:rPr>
          <w:rFonts w:cstheme="minorHAnsi"/>
        </w:rPr>
        <w:t>δοση</w:t>
      </w:r>
      <w:r w:rsidR="009B5D5C" w:rsidRPr="002131AD">
        <w:rPr>
          <w:rFonts w:cstheme="minorHAnsi"/>
        </w:rPr>
        <w:t>ς</w:t>
      </w:r>
      <w:r w:rsidRPr="002131AD">
        <w:rPr>
          <w:rFonts w:cstheme="minorHAnsi"/>
        </w:rPr>
        <w:t xml:space="preserve">. Ως </w:t>
      </w:r>
      <w:r w:rsidR="009B5D5C" w:rsidRPr="002131AD">
        <w:rPr>
          <w:rFonts w:cstheme="minorHAnsi"/>
        </w:rPr>
        <w:t>«</w:t>
      </w:r>
      <w:r w:rsidRPr="002131AD">
        <w:rPr>
          <w:rFonts w:cstheme="minorHAnsi"/>
        </w:rPr>
        <w:t>κίνδυνος</w:t>
      </w:r>
      <w:r w:rsidR="009B5D5C" w:rsidRPr="002131AD">
        <w:rPr>
          <w:rFonts w:cstheme="minorHAnsi"/>
        </w:rPr>
        <w:t>»</w:t>
      </w:r>
      <w:r w:rsidRPr="002131AD">
        <w:rPr>
          <w:rFonts w:cstheme="minorHAnsi"/>
        </w:rPr>
        <w:t xml:space="preserve"> μπορεί να ορισθεί ο συνδυασμός της πιθανότητας ενός γεγονότος που μπορεί να επηρεάσει αρνητικά τη λειτουργία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 και της επίπτωσής του. </w:t>
      </w:r>
    </w:p>
    <w:p w14:paraId="7B12E612" w14:textId="77777777" w:rsidR="00D91812" w:rsidRPr="002131AD" w:rsidRDefault="00D91812" w:rsidP="00967B51">
      <w:pPr>
        <w:spacing w:line="276" w:lineRule="auto"/>
        <w:jc w:val="both"/>
        <w:rPr>
          <w:rFonts w:cstheme="minorHAnsi"/>
        </w:rPr>
      </w:pPr>
    </w:p>
    <w:p w14:paraId="5B531A8D" w14:textId="4BA87C82" w:rsidR="009F595D" w:rsidRPr="002131AD" w:rsidRDefault="009F595D" w:rsidP="00B47E9E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 w:val="24"/>
          <w:lang w:val="en-US"/>
        </w:rPr>
      </w:pPr>
      <w:bookmarkStart w:id="5" w:name="_Toc133501064"/>
      <w:r w:rsidRPr="002131AD">
        <w:rPr>
          <w:rFonts w:asciiTheme="minorHAnsi" w:hAnsiTheme="minorHAnsi" w:cstheme="minorHAnsi"/>
          <w:b/>
          <w:color w:val="auto"/>
          <w:sz w:val="24"/>
          <w:lang w:val="en-US"/>
        </w:rPr>
        <w:t>Π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>εδίο εφαρμογής</w:t>
      </w:r>
      <w:bookmarkEnd w:id="5"/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</w:p>
    <w:p w14:paraId="5675056C" w14:textId="77777777" w:rsidR="00E016B1" w:rsidRPr="002131AD" w:rsidRDefault="00E016B1" w:rsidP="00E016B1">
      <w:pPr>
        <w:rPr>
          <w:lang w:val="en-US"/>
        </w:rPr>
      </w:pPr>
    </w:p>
    <w:p w14:paraId="1A78E095" w14:textId="426B36CF" w:rsidR="002305F7" w:rsidRPr="002131AD" w:rsidRDefault="002305F7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Ο </w:t>
      </w:r>
      <w:r w:rsidR="008D4813" w:rsidRPr="002131AD">
        <w:rPr>
          <w:rFonts w:cstheme="minorHAnsi"/>
        </w:rPr>
        <w:t xml:space="preserve">παρών </w:t>
      </w:r>
      <w:r w:rsidRPr="002131AD">
        <w:rPr>
          <w:rFonts w:cstheme="minorHAnsi"/>
        </w:rPr>
        <w:t xml:space="preserve">Κανονισμός Λειτουργίας </w:t>
      </w:r>
      <w:r w:rsidR="00EB7735" w:rsidRPr="002131AD">
        <w:rPr>
          <w:rFonts w:cstheme="minorHAnsi"/>
        </w:rPr>
        <w:t xml:space="preserve">της </w:t>
      </w:r>
      <w:r w:rsidR="00207858" w:rsidRPr="002131AD">
        <w:rPr>
          <w:rFonts w:cstheme="minorHAnsi"/>
        </w:rPr>
        <w:t>Υπηρεσίας</w:t>
      </w:r>
      <w:r w:rsidR="00EB7735" w:rsidRPr="002131AD">
        <w:rPr>
          <w:rFonts w:cstheme="minorHAnsi"/>
        </w:rPr>
        <w:t xml:space="preserve"> Διαχείρισης Κινδύνων (εφεξής</w:t>
      </w:r>
      <w:r w:rsidRPr="002131AD">
        <w:rPr>
          <w:rFonts w:cstheme="minorHAnsi"/>
        </w:rPr>
        <w:t xml:space="preserve"> </w:t>
      </w:r>
      <w:r w:rsidR="00EB7735" w:rsidRPr="002131AD">
        <w:rPr>
          <w:rFonts w:cstheme="minorHAnsi"/>
        </w:rPr>
        <w:t>«</w:t>
      </w:r>
      <w:r w:rsidR="00E738C1" w:rsidRPr="002131AD">
        <w:rPr>
          <w:rFonts w:cstheme="minorHAnsi"/>
        </w:rPr>
        <w:t>ΥΔΚ</w:t>
      </w:r>
      <w:r w:rsidR="00EB7735" w:rsidRPr="002131AD">
        <w:rPr>
          <w:rFonts w:cstheme="minorHAnsi"/>
        </w:rPr>
        <w:t>»)</w:t>
      </w:r>
      <w:r w:rsidR="004C6AF6" w:rsidRPr="002131AD">
        <w:rPr>
          <w:rFonts w:cstheme="minorHAnsi"/>
        </w:rPr>
        <w:t xml:space="preserve"> της</w:t>
      </w:r>
      <w:r w:rsidR="005E7761" w:rsidRPr="002131AD">
        <w:t xml:space="preserve"> </w:t>
      </w:r>
      <w:bookmarkStart w:id="6" w:name="_Hlk152233700"/>
      <w:r w:rsidR="005E7761" w:rsidRPr="002131AD">
        <w:rPr>
          <w:rFonts w:cstheme="minorHAnsi"/>
        </w:rPr>
        <w:t>«</w:t>
      </w:r>
      <w:r w:rsidR="009B5D5C" w:rsidRPr="002131AD">
        <w:rPr>
          <w:rFonts w:cstheme="minorHAnsi"/>
        </w:rPr>
        <w:t>ΑΒΑΞ ΑΝΩΝΥΜΗ ΕΤΑΙΡΕΙΑ – ΕΡΓΟΛΗΠΤΙΚΗ – ΤΟΥΡΙΣΤΙΚΗ – ΕΜΠΟΡΙΚΗ – ΒΙΟΜΗΧΑΝΙΚΗ – ΟΙΚΟΔΟΜΙΚΩΝ ΥΛΙΚΩΝ ΚΑΙ ΜΗΧΑΝΗΜΑΤΩΝ", με διακριτικό τίτλο "ΑΒΑΞ ΑΕ</w:t>
      </w:r>
      <w:r w:rsidR="005E7761" w:rsidRPr="002131AD">
        <w:rPr>
          <w:rFonts w:cstheme="minorHAnsi"/>
        </w:rPr>
        <w:t>» (εφεξής «</w:t>
      </w:r>
      <w:r w:rsidR="00C953D1" w:rsidRPr="002131AD">
        <w:rPr>
          <w:rFonts w:cstheme="minorHAnsi"/>
        </w:rPr>
        <w:t>Εταιρεία</w:t>
      </w:r>
      <w:r w:rsidR="005E7761" w:rsidRPr="002131AD">
        <w:rPr>
          <w:rFonts w:cstheme="minorHAnsi"/>
        </w:rPr>
        <w:t>»)</w:t>
      </w:r>
      <w:r w:rsidR="00DD5728" w:rsidRPr="002131AD">
        <w:rPr>
          <w:rFonts w:cstheme="minorHAnsi"/>
        </w:rPr>
        <w:t xml:space="preserve"> </w:t>
      </w:r>
      <w:bookmarkEnd w:id="6"/>
      <w:r w:rsidRPr="002131AD">
        <w:rPr>
          <w:rFonts w:cstheme="minorHAnsi"/>
        </w:rPr>
        <w:t xml:space="preserve">περιγράφει τις λειτουργίες και τις αρμοδιότητες της </w:t>
      </w:r>
      <w:r w:rsidR="00E738C1" w:rsidRPr="002131AD">
        <w:rPr>
          <w:rFonts w:cstheme="minorHAnsi"/>
        </w:rPr>
        <w:t>Υπηρεσίας</w:t>
      </w:r>
      <w:r w:rsidRPr="002131AD">
        <w:rPr>
          <w:rFonts w:cstheme="minorHAnsi"/>
        </w:rPr>
        <w:t xml:space="preserve">, καθώς και τον ρόλο και τις αρμοδιότητες του Υπεύθυνου της </w:t>
      </w:r>
      <w:r w:rsidR="00E738C1" w:rsidRPr="002131AD">
        <w:rPr>
          <w:rFonts w:cstheme="minorHAnsi"/>
        </w:rPr>
        <w:t>Υπηρεσίας</w:t>
      </w:r>
      <w:r w:rsidR="00B22F09" w:rsidRPr="002131AD">
        <w:rPr>
          <w:rFonts w:cstheme="minorHAnsi"/>
        </w:rPr>
        <w:t xml:space="preserve"> (στο εξής και «Υ</w:t>
      </w:r>
      <w:r w:rsidR="00E738C1" w:rsidRPr="002131AD">
        <w:rPr>
          <w:rFonts w:cstheme="minorHAnsi"/>
        </w:rPr>
        <w:t>π</w:t>
      </w:r>
      <w:r w:rsidR="00B22F09" w:rsidRPr="002131AD">
        <w:rPr>
          <w:rFonts w:cstheme="minorHAnsi"/>
        </w:rPr>
        <w:t>ΔΚ»)</w:t>
      </w:r>
      <w:r w:rsidRPr="002131AD">
        <w:rPr>
          <w:rFonts w:cstheme="minorHAnsi"/>
        </w:rPr>
        <w:t xml:space="preserve">. </w:t>
      </w:r>
    </w:p>
    <w:p w14:paraId="7A26CB70" w14:textId="5DE3E19A" w:rsidR="001E237C" w:rsidRPr="002131AD" w:rsidRDefault="007D0512" w:rsidP="007D0512">
      <w:pPr>
        <w:pStyle w:val="Heading1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4"/>
        </w:rPr>
      </w:pPr>
      <w:bookmarkStart w:id="7" w:name="_Toc133501065"/>
      <w:r w:rsidRPr="002131AD">
        <w:rPr>
          <w:rFonts w:asciiTheme="minorHAnsi" w:hAnsiTheme="minorHAnsi" w:cstheme="minorHAnsi"/>
          <w:b/>
          <w:color w:val="auto"/>
          <w:sz w:val="24"/>
        </w:rPr>
        <w:t>Έγκριση – Αναθεώρηση Κανονισμού</w:t>
      </w:r>
      <w:bookmarkEnd w:id="7"/>
      <w:r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</w:p>
    <w:p w14:paraId="19449406" w14:textId="77777777" w:rsidR="001E237C" w:rsidRPr="002131AD" w:rsidRDefault="001E237C" w:rsidP="007D0512">
      <w:pPr>
        <w:spacing w:line="276" w:lineRule="auto"/>
        <w:jc w:val="both"/>
        <w:rPr>
          <w:rFonts w:cstheme="minorHAnsi"/>
        </w:rPr>
      </w:pPr>
    </w:p>
    <w:p w14:paraId="0DB53DA7" w14:textId="4C304E2F" w:rsidR="001E237C" w:rsidRPr="002131AD" w:rsidRDefault="001E237C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Ο Κανονισμός Λειτουργίας της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 xml:space="preserve"> εγκρίνεται από το Διοικητικό Συμβούλιο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</w:t>
      </w:r>
      <w:r w:rsidR="00D93F46" w:rsidRPr="002131AD">
        <w:rPr>
          <w:rFonts w:cstheme="minorHAnsi"/>
        </w:rPr>
        <w:t xml:space="preserve"> </w:t>
      </w:r>
      <w:r w:rsidR="00625E3D" w:rsidRPr="002131AD">
        <w:rPr>
          <w:rFonts w:cstheme="minorHAnsi"/>
        </w:rPr>
        <w:t>(</w:t>
      </w:r>
      <w:r w:rsidR="00D93F46" w:rsidRPr="002131AD">
        <w:rPr>
          <w:rFonts w:cstheme="minorHAnsi"/>
        </w:rPr>
        <w:t xml:space="preserve">εφεξής «ΔΣ») </w:t>
      </w:r>
      <w:r w:rsidRPr="002131AD">
        <w:rPr>
          <w:rFonts w:cstheme="minorHAnsi"/>
        </w:rPr>
        <w:t xml:space="preserve"> κατόπιν εισήγησης του </w:t>
      </w:r>
      <w:r w:rsidR="006F3B52" w:rsidRPr="002131AD">
        <w:rPr>
          <w:rFonts w:cstheme="minorHAnsi"/>
        </w:rPr>
        <w:t>Υ</w:t>
      </w:r>
      <w:r w:rsidR="00E738C1" w:rsidRPr="002131AD">
        <w:rPr>
          <w:rFonts w:cstheme="minorHAnsi"/>
        </w:rPr>
        <w:t>π</w:t>
      </w:r>
      <w:r w:rsidR="006F3B52" w:rsidRPr="002131AD">
        <w:rPr>
          <w:rFonts w:cstheme="minorHAnsi"/>
        </w:rPr>
        <w:t>ΔΚ</w:t>
      </w:r>
      <w:r w:rsidRPr="002131AD">
        <w:rPr>
          <w:rFonts w:cstheme="minorHAnsi"/>
        </w:rPr>
        <w:t>.</w:t>
      </w:r>
    </w:p>
    <w:p w14:paraId="4AAB3BEB" w14:textId="4B899D00" w:rsidR="004C6AF6" w:rsidRPr="002131AD" w:rsidRDefault="004C6AF6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>Η πληρότητα και ακρίβεια του</w:t>
      </w:r>
      <w:r w:rsidR="009F595D" w:rsidRPr="002131AD">
        <w:rPr>
          <w:rFonts w:cstheme="minorHAnsi"/>
        </w:rPr>
        <w:t xml:space="preserve"> Κανονισμο</w:t>
      </w:r>
      <w:r w:rsidR="000D7B2D" w:rsidRPr="002131AD">
        <w:rPr>
          <w:rFonts w:cstheme="minorHAnsi"/>
        </w:rPr>
        <w:t>ύ</w:t>
      </w:r>
      <w:r w:rsidR="009F595D" w:rsidRPr="002131AD">
        <w:rPr>
          <w:rFonts w:cstheme="minorHAnsi"/>
        </w:rPr>
        <w:t xml:space="preserve"> Λειτουργίας της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 xml:space="preserve"> θα επαναξιολογείται από το </w:t>
      </w:r>
      <w:r w:rsidR="00D93F46" w:rsidRPr="002131AD">
        <w:rPr>
          <w:rFonts w:cstheme="minorHAnsi"/>
        </w:rPr>
        <w:t>ΔΣ</w:t>
      </w:r>
      <w:r w:rsidR="00424DA7" w:rsidRPr="002131AD">
        <w:rPr>
          <w:rFonts w:cstheme="minorHAnsi"/>
        </w:rPr>
        <w:t xml:space="preserve"> </w:t>
      </w:r>
      <w:r w:rsidRPr="002131AD">
        <w:rPr>
          <w:rFonts w:cstheme="minorHAnsi"/>
        </w:rPr>
        <w:t xml:space="preserve">και θα </w:t>
      </w:r>
      <w:r w:rsidR="009F595D" w:rsidRPr="002131AD">
        <w:rPr>
          <w:rFonts w:cstheme="minorHAnsi"/>
        </w:rPr>
        <w:t>επικαιροποιείται</w:t>
      </w:r>
      <w:r w:rsidRPr="002131AD">
        <w:rPr>
          <w:rFonts w:cstheme="minorHAnsi"/>
        </w:rPr>
        <w:t xml:space="preserve">, </w:t>
      </w:r>
      <w:r w:rsidR="009F595D" w:rsidRPr="002131AD">
        <w:rPr>
          <w:rFonts w:cstheme="minorHAnsi"/>
        </w:rPr>
        <w:t xml:space="preserve">όποτε απαιτείται σύμφωνα με τις εκάστοτε </w:t>
      </w:r>
      <w:r w:rsidRPr="002131AD">
        <w:rPr>
          <w:rFonts w:cstheme="minorHAnsi"/>
        </w:rPr>
        <w:t>ανάγκες που θα προκύπτουν, τόσο σ</w:t>
      </w:r>
      <w:r w:rsidR="009F595D" w:rsidRPr="002131AD">
        <w:rPr>
          <w:rFonts w:cstheme="minorHAnsi"/>
        </w:rPr>
        <w:t>το</w:t>
      </w:r>
      <w:r w:rsidRPr="002131AD">
        <w:rPr>
          <w:rFonts w:cstheme="minorHAnsi"/>
        </w:rPr>
        <w:t xml:space="preserve"> επιχειρησιακό</w:t>
      </w:r>
      <w:r w:rsidR="009F595D" w:rsidRPr="002131AD">
        <w:rPr>
          <w:rFonts w:cstheme="minorHAnsi"/>
        </w:rPr>
        <w:t xml:space="preserve"> και λειτουργικό περιβάλλον </w:t>
      </w:r>
      <w:r w:rsidRPr="002131AD">
        <w:rPr>
          <w:rFonts w:cstheme="minorHAnsi"/>
        </w:rPr>
        <w:t xml:space="preserve"> όσο και σε κανονιστικό επίπεδο. </w:t>
      </w:r>
    </w:p>
    <w:p w14:paraId="3557E4CC" w14:textId="77777777" w:rsidR="004C6AF6" w:rsidRPr="002131AD" w:rsidRDefault="004C6AF6" w:rsidP="002305F7">
      <w:pPr>
        <w:jc w:val="both"/>
        <w:rPr>
          <w:rFonts w:cstheme="minorHAnsi"/>
        </w:rPr>
      </w:pPr>
    </w:p>
    <w:p w14:paraId="17836BA8" w14:textId="54740B39" w:rsidR="002305F7" w:rsidRPr="002131AD" w:rsidRDefault="00E738C1" w:rsidP="00A43F21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 w:val="24"/>
        </w:rPr>
      </w:pPr>
      <w:bookmarkStart w:id="8" w:name="_Toc133501066"/>
      <w:bookmarkStart w:id="9" w:name="_Toc72855717"/>
      <w:bookmarkStart w:id="10" w:name="_Toc72855674"/>
      <w:r w:rsidRPr="002131AD">
        <w:rPr>
          <w:rFonts w:asciiTheme="minorHAnsi" w:hAnsiTheme="minorHAnsi" w:cstheme="minorHAnsi"/>
          <w:b/>
          <w:color w:val="auto"/>
          <w:sz w:val="24"/>
        </w:rPr>
        <w:t>Υπηρεσία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Διαχείρισης Κινδύνων</w:t>
      </w:r>
      <w:bookmarkEnd w:id="8"/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  <w:bookmarkEnd w:id="9"/>
      <w:bookmarkEnd w:id="10"/>
    </w:p>
    <w:p w14:paraId="2ED02FC0" w14:textId="77777777" w:rsidR="00F30A76" w:rsidRPr="002131AD" w:rsidRDefault="00F30A76" w:rsidP="00F30A76"/>
    <w:p w14:paraId="3919CBEA" w14:textId="67A051EC" w:rsidR="004C6AF6" w:rsidRPr="002131AD" w:rsidRDefault="002305F7" w:rsidP="008527EE">
      <w:pPr>
        <w:pStyle w:val="Heading2"/>
        <w:numPr>
          <w:ilvl w:val="1"/>
          <w:numId w:val="6"/>
        </w:numPr>
        <w:ind w:left="1276" w:hanging="567"/>
        <w:jc w:val="both"/>
        <w:rPr>
          <w:rFonts w:asciiTheme="minorHAnsi" w:hAnsiTheme="minorHAnsi" w:cstheme="minorHAnsi"/>
          <w:b/>
          <w:color w:val="auto"/>
          <w:sz w:val="22"/>
        </w:rPr>
      </w:pPr>
      <w:bookmarkStart w:id="11" w:name="_Toc72855627"/>
      <w:bookmarkStart w:id="12" w:name="_Toc72855675"/>
      <w:bookmarkStart w:id="13" w:name="_Toc72855718"/>
      <w:bookmarkStart w:id="14" w:name="_Toc72855733"/>
      <w:bookmarkStart w:id="15" w:name="_Toc72855762"/>
      <w:bookmarkStart w:id="16" w:name="_Toc72855964"/>
      <w:bookmarkStart w:id="17" w:name="_Toc72858166"/>
      <w:bookmarkStart w:id="18" w:name="_Toc72858203"/>
      <w:bookmarkStart w:id="19" w:name="_Toc72859817"/>
      <w:bookmarkStart w:id="20" w:name="_Toc72878723"/>
      <w:bookmarkStart w:id="21" w:name="_Toc72942023"/>
      <w:bookmarkStart w:id="22" w:name="_Toc73126125"/>
      <w:bookmarkStart w:id="23" w:name="_Toc73126452"/>
      <w:bookmarkStart w:id="24" w:name="_Toc73126464"/>
      <w:bookmarkStart w:id="25" w:name="_Toc73126476"/>
      <w:bookmarkStart w:id="26" w:name="_Toc73126787"/>
      <w:bookmarkStart w:id="27" w:name="_Toc73126833"/>
      <w:bookmarkStart w:id="28" w:name="_Toc73126993"/>
      <w:bookmarkStart w:id="29" w:name="_Toc73127151"/>
      <w:bookmarkStart w:id="30" w:name="_Toc73356782"/>
      <w:bookmarkStart w:id="31" w:name="_Toc73356804"/>
      <w:bookmarkStart w:id="32" w:name="_Toc73356829"/>
      <w:bookmarkStart w:id="33" w:name="_Toc73357122"/>
      <w:bookmarkStart w:id="34" w:name="_Toc73374355"/>
      <w:bookmarkStart w:id="35" w:name="_Toc73374667"/>
      <w:bookmarkStart w:id="36" w:name="_Toc74045901"/>
      <w:bookmarkStart w:id="37" w:name="_Toc74055807"/>
      <w:bookmarkStart w:id="38" w:name="_Toc74057922"/>
      <w:bookmarkStart w:id="39" w:name="_Toc74059974"/>
      <w:bookmarkStart w:id="40" w:name="_Toc74060022"/>
      <w:bookmarkStart w:id="41" w:name="_Toc74061959"/>
      <w:bookmarkStart w:id="42" w:name="_Toc73374356"/>
      <w:bookmarkStart w:id="43" w:name="_Toc73374668"/>
      <w:bookmarkStart w:id="44" w:name="_Toc74045902"/>
      <w:bookmarkStart w:id="45" w:name="_Toc74055808"/>
      <w:bookmarkStart w:id="46" w:name="_Toc74057923"/>
      <w:bookmarkStart w:id="47" w:name="_Toc74059975"/>
      <w:bookmarkStart w:id="48" w:name="_Toc74060023"/>
      <w:bookmarkStart w:id="49" w:name="_Toc74061960"/>
      <w:bookmarkStart w:id="50" w:name="_Toc73374669"/>
      <w:bookmarkStart w:id="51" w:name="_Toc74045903"/>
      <w:bookmarkStart w:id="52" w:name="_Toc74055809"/>
      <w:bookmarkStart w:id="53" w:name="_Toc74057924"/>
      <w:bookmarkStart w:id="54" w:name="_Toc74059976"/>
      <w:bookmarkStart w:id="55" w:name="_Toc74060024"/>
      <w:bookmarkStart w:id="56" w:name="_Toc74061961"/>
      <w:bookmarkStart w:id="57" w:name="_Toc73374670"/>
      <w:bookmarkStart w:id="58" w:name="_Toc74045904"/>
      <w:bookmarkStart w:id="59" w:name="_Toc74055810"/>
      <w:bookmarkStart w:id="60" w:name="_Toc74057925"/>
      <w:bookmarkStart w:id="61" w:name="_Toc74059977"/>
      <w:bookmarkStart w:id="62" w:name="_Toc74060025"/>
      <w:bookmarkStart w:id="63" w:name="_Toc74061962"/>
      <w:bookmarkStart w:id="64" w:name="_Toc71736331"/>
      <w:bookmarkStart w:id="65" w:name="_Toc72855678"/>
      <w:bookmarkStart w:id="66" w:name="_Toc72855721"/>
      <w:bookmarkStart w:id="67" w:name="_Toc1335010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2131AD">
        <w:rPr>
          <w:rFonts w:asciiTheme="minorHAnsi" w:hAnsiTheme="minorHAnsi" w:cstheme="minorHAnsi"/>
          <w:b/>
          <w:color w:val="auto"/>
          <w:sz w:val="22"/>
        </w:rPr>
        <w:t>Οργανωτική δομή</w:t>
      </w:r>
      <w:bookmarkEnd w:id="64"/>
      <w:bookmarkEnd w:id="65"/>
      <w:bookmarkEnd w:id="66"/>
      <w:bookmarkEnd w:id="67"/>
    </w:p>
    <w:p w14:paraId="344CAEF1" w14:textId="77777777" w:rsidR="008527EE" w:rsidRPr="002131AD" w:rsidRDefault="008527EE" w:rsidP="008527EE"/>
    <w:p w14:paraId="078A3F16" w14:textId="77261D59" w:rsidR="00300DE8" w:rsidRPr="002131AD" w:rsidRDefault="00300DE8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Η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 έχει συστήσει </w:t>
      </w:r>
      <w:r w:rsidR="00E738C1" w:rsidRPr="002131AD">
        <w:rPr>
          <w:rFonts w:cstheme="minorHAnsi"/>
        </w:rPr>
        <w:t>Υπηρεσία</w:t>
      </w:r>
      <w:r w:rsidRPr="002131AD">
        <w:rPr>
          <w:rFonts w:cstheme="minorHAnsi"/>
        </w:rPr>
        <w:t xml:space="preserve"> Διαχείρισης Κινδύνων</w:t>
      </w:r>
      <w:r w:rsidR="00953B1A" w:rsidRPr="002131AD">
        <w:rPr>
          <w:rFonts w:cstheme="minorHAnsi"/>
        </w:rPr>
        <w:t>,</w:t>
      </w:r>
      <w:r w:rsidRPr="002131AD">
        <w:rPr>
          <w:rFonts w:cstheme="minorHAnsi"/>
        </w:rPr>
        <w:t xml:space="preserve"> η οποία είναι διοικητικά ανεξάρτητη από μονάδες με εκτελεστικές αρμοδιότητες. Η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 xml:space="preserve"> λειτουργεί διαχωρισμένα από τις λοιπές οργανωτικές μονάδες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</w:t>
      </w:r>
      <w:r w:rsidR="000349D6" w:rsidRPr="002131AD">
        <w:rPr>
          <w:rFonts w:cstheme="minorHAnsi"/>
        </w:rPr>
        <w:t xml:space="preserve">. </w:t>
      </w:r>
      <w:bookmarkStart w:id="68" w:name="_Hlk156472816"/>
      <w:r w:rsidR="000349D6" w:rsidRPr="002131AD">
        <w:rPr>
          <w:rFonts w:cstheme="minorHAnsi"/>
        </w:rPr>
        <w:t xml:space="preserve">Ο υπεύθυνος της </w:t>
      </w:r>
      <w:r w:rsidR="00E738C1" w:rsidRPr="002131AD">
        <w:rPr>
          <w:rFonts w:cstheme="minorHAnsi"/>
        </w:rPr>
        <w:t>ΥΔΚ</w:t>
      </w:r>
      <w:r w:rsidR="000349D6" w:rsidRPr="002131AD">
        <w:rPr>
          <w:rFonts w:cstheme="minorHAnsi"/>
        </w:rPr>
        <w:t xml:space="preserve"> </w:t>
      </w:r>
      <w:r w:rsidR="00C953D1" w:rsidRPr="002131AD">
        <w:rPr>
          <w:rFonts w:cstheme="minorHAnsi"/>
        </w:rPr>
        <w:t>λειτουργικά στο Συμβούλιο Διεύθυνσης και διοικητικά στον ορισμένο Εντεταλμένο Σύμβουλο</w:t>
      </w:r>
      <w:r w:rsidRPr="002131AD">
        <w:rPr>
          <w:rFonts w:cstheme="minorHAnsi"/>
        </w:rPr>
        <w:t xml:space="preserve">. </w:t>
      </w:r>
      <w:r w:rsidR="00E278C8" w:rsidRPr="002131AD">
        <w:rPr>
          <w:rFonts w:cstheme="minorHAnsi"/>
        </w:rPr>
        <w:t xml:space="preserve">Επίσης, </w:t>
      </w:r>
      <w:r w:rsidR="00473816" w:rsidRPr="002131AD">
        <w:rPr>
          <w:rFonts w:cstheme="minorHAnsi"/>
        </w:rPr>
        <w:t xml:space="preserve">ο </w:t>
      </w:r>
      <w:r w:rsidR="00E738C1" w:rsidRPr="002131AD">
        <w:rPr>
          <w:rFonts w:cstheme="minorHAnsi"/>
        </w:rPr>
        <w:t>ΥΠΔΚ</w:t>
      </w:r>
      <w:r w:rsidR="00D932F6" w:rsidRPr="002131AD">
        <w:rPr>
          <w:rFonts w:cstheme="minorHAnsi"/>
        </w:rPr>
        <w:t xml:space="preserve"> </w:t>
      </w:r>
      <w:r w:rsidR="0045332F" w:rsidRPr="002131AD">
        <w:rPr>
          <w:rFonts w:cstheme="minorHAnsi"/>
        </w:rPr>
        <w:t xml:space="preserve">αναφέρεται σε περιοδική βάση </w:t>
      </w:r>
      <w:r w:rsidR="00AE5AE7" w:rsidRPr="002131AD">
        <w:rPr>
          <w:rFonts w:cstheme="minorHAnsi"/>
        </w:rPr>
        <w:t xml:space="preserve">προς </w:t>
      </w:r>
      <w:r w:rsidR="0045332F" w:rsidRPr="002131AD">
        <w:rPr>
          <w:rFonts w:cstheme="minorHAnsi"/>
        </w:rPr>
        <w:t xml:space="preserve">την Επιτροπή Ελέγχου </w:t>
      </w:r>
      <w:r w:rsidR="00AE5AE7" w:rsidRPr="002131AD">
        <w:rPr>
          <w:rFonts w:cstheme="minorHAnsi"/>
        </w:rPr>
        <w:t xml:space="preserve">ενημερώνοντάς την </w:t>
      </w:r>
      <w:r w:rsidR="0045332F" w:rsidRPr="002131AD">
        <w:rPr>
          <w:rFonts w:cstheme="minorHAnsi"/>
        </w:rPr>
        <w:t>για τη δραστηριότητ</w:t>
      </w:r>
      <w:r w:rsidR="00FC46BE" w:rsidRPr="002131AD">
        <w:rPr>
          <w:rFonts w:cstheme="minorHAnsi"/>
        </w:rPr>
        <w:t>α</w:t>
      </w:r>
      <w:r w:rsidR="0045332F" w:rsidRPr="002131AD">
        <w:rPr>
          <w:rFonts w:cstheme="minorHAnsi"/>
        </w:rPr>
        <w:t xml:space="preserve"> </w:t>
      </w:r>
      <w:r w:rsidR="00FC46BE" w:rsidRPr="002131AD">
        <w:rPr>
          <w:rFonts w:cstheme="minorHAnsi"/>
        </w:rPr>
        <w:t xml:space="preserve">της </w:t>
      </w:r>
      <w:r w:rsidR="00E738C1" w:rsidRPr="002131AD">
        <w:rPr>
          <w:rFonts w:cstheme="minorHAnsi"/>
        </w:rPr>
        <w:t>ΥΔΚ</w:t>
      </w:r>
      <w:r w:rsidR="0045332F" w:rsidRPr="002131AD">
        <w:rPr>
          <w:rFonts w:cstheme="minorHAnsi"/>
        </w:rPr>
        <w:t xml:space="preserve">. </w:t>
      </w:r>
      <w:bookmarkEnd w:id="68"/>
    </w:p>
    <w:p w14:paraId="093A7BCF" w14:textId="15CA7CC3" w:rsidR="0045332F" w:rsidRPr="002131AD" w:rsidRDefault="0045332F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ascii="Calibri" w:hAnsi="Calibri" w:cs="Calibri"/>
        </w:rPr>
        <w:lastRenderedPageBreak/>
        <w:t xml:space="preserve">Οι γραμμές αναφοράς της </w:t>
      </w:r>
      <w:r w:rsidR="00E738C1" w:rsidRPr="002131AD">
        <w:rPr>
          <w:rFonts w:ascii="Calibri" w:hAnsi="Calibri" w:cs="Calibri"/>
        </w:rPr>
        <w:t>ΥΔΚ</w:t>
      </w:r>
      <w:r w:rsidRPr="002131AD">
        <w:rPr>
          <w:rFonts w:ascii="Calibri" w:hAnsi="Calibri" w:cs="Calibri"/>
        </w:rPr>
        <w:t xml:space="preserve">, δύνανται να ενημερώνουν το Διοικητικό Συμβούλιο για τα αποτελέσματα των εργασιών και τις εισηγήσεις της </w:t>
      </w:r>
      <w:r w:rsidR="00E738C1" w:rsidRPr="002131AD">
        <w:rPr>
          <w:rFonts w:ascii="Calibri" w:hAnsi="Calibri" w:cs="Calibri"/>
        </w:rPr>
        <w:t>Υπηρεσίας</w:t>
      </w:r>
      <w:r w:rsidRPr="002131AD">
        <w:rPr>
          <w:rFonts w:ascii="Calibri" w:hAnsi="Calibri" w:cs="Calibri"/>
        </w:rPr>
        <w:t xml:space="preserve"> Διαχείρισης Κινδύνων, όποτε αυτό κρίνεται αναγκαίο, προκειμένου, αν απαιτείται, να διενεργούνται προσαρμογές διαδικασιών, συστημάτων, λήψη μέτρων</w:t>
      </w:r>
      <w:r w:rsidR="00AE5AE7" w:rsidRPr="002131AD">
        <w:rPr>
          <w:rFonts w:ascii="Calibri" w:hAnsi="Calibri" w:cs="Calibri"/>
        </w:rPr>
        <w:t xml:space="preserve"> και λοιπές ενέργειες. </w:t>
      </w:r>
    </w:p>
    <w:p w14:paraId="0260ABA5" w14:textId="523BD211" w:rsidR="005E418A" w:rsidRPr="002131AD" w:rsidRDefault="005E418A" w:rsidP="005E418A">
      <w:pPr>
        <w:spacing w:line="276" w:lineRule="auto"/>
        <w:jc w:val="both"/>
        <w:rPr>
          <w:rFonts w:ascii="Calibri" w:hAnsi="Calibri" w:cs="Calibri"/>
        </w:rPr>
      </w:pPr>
      <w:r w:rsidRPr="002131AD">
        <w:rPr>
          <w:rFonts w:ascii="Calibri" w:hAnsi="Calibri" w:cs="Calibri"/>
        </w:rPr>
        <w:t xml:space="preserve">Η βασική αποστολή της </w:t>
      </w:r>
      <w:r w:rsidR="00E738C1" w:rsidRPr="002131AD">
        <w:rPr>
          <w:rFonts w:ascii="Calibri" w:hAnsi="Calibri" w:cs="Calibri"/>
        </w:rPr>
        <w:t>ΥΔΚ</w:t>
      </w:r>
      <w:r w:rsidRPr="002131AD">
        <w:rPr>
          <w:rFonts w:ascii="Calibri" w:hAnsi="Calibri" w:cs="Calibri"/>
        </w:rPr>
        <w:t xml:space="preserve"> είναι η εφαρμογή και ο συντονισμός της </w:t>
      </w:r>
      <w:r w:rsidRPr="002131AD">
        <w:rPr>
          <w:rFonts w:ascii="Calibri" w:hAnsi="Calibri" w:cs="Calibri"/>
          <w:i/>
          <w:iCs/>
        </w:rPr>
        <w:t>Πολιτικής και Μεθοδολογίας  Διαχείρισης Κινδύνων</w:t>
      </w:r>
      <w:r w:rsidRPr="002131AD">
        <w:rPr>
          <w:rFonts w:ascii="Calibri" w:hAnsi="Calibri" w:cs="Calibri"/>
        </w:rPr>
        <w:t xml:space="preserve">, όπως αυτές έχουν εγκριθεί από τη Διοίκηση της </w:t>
      </w:r>
      <w:r w:rsidR="00C953D1" w:rsidRPr="002131AD">
        <w:rPr>
          <w:rFonts w:ascii="Calibri" w:hAnsi="Calibri" w:cs="Calibri"/>
        </w:rPr>
        <w:t>Εταιρεία</w:t>
      </w:r>
      <w:r w:rsidRPr="002131AD">
        <w:rPr>
          <w:rFonts w:ascii="Calibri" w:hAnsi="Calibri" w:cs="Calibri"/>
        </w:rPr>
        <w:t xml:space="preserve">ς. Η </w:t>
      </w:r>
      <w:r w:rsidR="00E738C1" w:rsidRPr="002131AD">
        <w:rPr>
          <w:rFonts w:ascii="Calibri" w:hAnsi="Calibri" w:cs="Calibri"/>
        </w:rPr>
        <w:t>ΥΔΚ</w:t>
      </w:r>
      <w:r w:rsidRPr="002131AD">
        <w:rPr>
          <w:rFonts w:ascii="Calibri" w:hAnsi="Calibri" w:cs="Calibri"/>
        </w:rPr>
        <w:t xml:space="preserve"> υποστηρίζει την εκτελεστική διοίκηση και το Διοικητικό Συμβούλιο στις αρμοδιότητές τους σχετικά με τη διαχείριση κινδύνων.  </w:t>
      </w:r>
    </w:p>
    <w:p w14:paraId="332FD94D" w14:textId="1FF1EC06" w:rsidR="00B21052" w:rsidRPr="002131AD" w:rsidRDefault="001E237C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Η </w:t>
      </w:r>
      <w:r w:rsidR="00E738C1" w:rsidRPr="002131AD">
        <w:rPr>
          <w:rFonts w:cstheme="minorHAnsi"/>
        </w:rPr>
        <w:t>Υ</w:t>
      </w:r>
      <w:r w:rsidRPr="002131AD">
        <w:rPr>
          <w:rFonts w:cstheme="minorHAnsi"/>
        </w:rPr>
        <w:t>ΚΔ υ</w:t>
      </w:r>
      <w:r w:rsidR="002305F7" w:rsidRPr="002131AD">
        <w:rPr>
          <w:rFonts w:cstheme="minorHAnsi"/>
        </w:rPr>
        <w:t xml:space="preserve">πόκειται στον έλεγχο της </w:t>
      </w:r>
      <w:r w:rsidR="00E738C1" w:rsidRPr="002131AD">
        <w:rPr>
          <w:rFonts w:cstheme="minorHAnsi"/>
        </w:rPr>
        <w:t>Υπηρεσίας</w:t>
      </w:r>
      <w:r w:rsidR="002305F7" w:rsidRPr="002131AD">
        <w:rPr>
          <w:rFonts w:cstheme="minorHAnsi"/>
        </w:rPr>
        <w:t xml:space="preserve"> Εσωτερικού Ελέγχου ως προς την επάρκεια και αποτελεσματικότητα των εργασιών της.</w:t>
      </w:r>
    </w:p>
    <w:p w14:paraId="45A992D5" w14:textId="77777777" w:rsidR="002B2DF8" w:rsidRPr="002131AD" w:rsidRDefault="002B2DF8" w:rsidP="002B2DF8">
      <w:pPr>
        <w:jc w:val="both"/>
        <w:rPr>
          <w:rFonts w:cstheme="minorHAnsi"/>
        </w:rPr>
      </w:pPr>
    </w:p>
    <w:p w14:paraId="7B7AC100" w14:textId="45960267" w:rsidR="002305F7" w:rsidRPr="002131AD" w:rsidRDefault="002305F7" w:rsidP="002305F7">
      <w:pPr>
        <w:pStyle w:val="Heading2"/>
        <w:numPr>
          <w:ilvl w:val="1"/>
          <w:numId w:val="6"/>
        </w:numPr>
        <w:jc w:val="both"/>
        <w:rPr>
          <w:rFonts w:asciiTheme="minorHAnsi" w:hAnsiTheme="minorHAnsi" w:cstheme="minorHAnsi"/>
          <w:b/>
          <w:color w:val="auto"/>
          <w:sz w:val="22"/>
        </w:rPr>
      </w:pPr>
      <w:bookmarkStart w:id="69" w:name="_Toc133501068"/>
      <w:bookmarkStart w:id="70" w:name="_Toc72855722"/>
      <w:bookmarkStart w:id="71" w:name="_Toc72855679"/>
      <w:bookmarkStart w:id="72" w:name="_Toc71736332"/>
      <w:r w:rsidRPr="002131AD">
        <w:rPr>
          <w:rFonts w:asciiTheme="minorHAnsi" w:hAnsiTheme="minorHAnsi" w:cstheme="minorHAnsi"/>
          <w:b/>
          <w:color w:val="auto"/>
          <w:sz w:val="22"/>
        </w:rPr>
        <w:t>Αρμοδιότητες</w:t>
      </w:r>
      <w:bookmarkEnd w:id="69"/>
      <w:r w:rsidRPr="002131AD">
        <w:rPr>
          <w:rFonts w:asciiTheme="minorHAnsi" w:hAnsiTheme="minorHAnsi" w:cstheme="minorHAnsi"/>
          <w:b/>
          <w:color w:val="auto"/>
          <w:sz w:val="22"/>
        </w:rPr>
        <w:t xml:space="preserve"> </w:t>
      </w:r>
      <w:bookmarkEnd w:id="70"/>
      <w:bookmarkEnd w:id="71"/>
      <w:bookmarkEnd w:id="72"/>
    </w:p>
    <w:p w14:paraId="687E4C54" w14:textId="77777777" w:rsidR="00830798" w:rsidRPr="002131AD" w:rsidRDefault="00830798" w:rsidP="00830798"/>
    <w:p w14:paraId="2F4B1423" w14:textId="3AE35E35" w:rsidR="002305F7" w:rsidRPr="002131AD" w:rsidRDefault="002305F7" w:rsidP="007D0512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Οι βασικές αρμοδιότητες - εργασίες της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 xml:space="preserve">, οι οποίες αποτελούν και βασικά καθήκοντα του </w:t>
      </w:r>
      <w:r w:rsidR="00E738C1" w:rsidRPr="002131AD">
        <w:rPr>
          <w:rFonts w:cstheme="minorHAnsi"/>
        </w:rPr>
        <w:t>ΥπΔΚ</w:t>
      </w:r>
      <w:r w:rsidRPr="002131AD">
        <w:rPr>
          <w:rFonts w:cstheme="minorHAnsi"/>
        </w:rPr>
        <w:t xml:space="preserve"> της, είναι οι εξής:</w:t>
      </w:r>
    </w:p>
    <w:p w14:paraId="78408371" w14:textId="77777777" w:rsidR="00EA1825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Να αναπτύσσει την κατάλληλη μεθοδολογία για τη διαδικασία διαχείρισης κινδύνων.</w:t>
      </w:r>
    </w:p>
    <w:p w14:paraId="0142E8F9" w14:textId="462EF4BC" w:rsidR="00665B2B" w:rsidRPr="002131AD" w:rsidRDefault="00665B2B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>
        <w:rPr>
          <w:rFonts w:cstheme="minorHAnsi"/>
        </w:rPr>
        <w:t>Να προάγει την κουλτούρα της Εταιρίας σχετικά με τη διαχείριση κινδύνων (</w:t>
      </w:r>
      <w:r>
        <w:rPr>
          <w:rFonts w:cstheme="minorHAnsi"/>
          <w:lang w:val="en-US"/>
        </w:rPr>
        <w:t>risk</w:t>
      </w:r>
      <w:r w:rsidRPr="00665B2B">
        <w:rPr>
          <w:rFonts w:cstheme="minorHAnsi"/>
        </w:rPr>
        <w:t xml:space="preserve"> </w:t>
      </w:r>
      <w:r>
        <w:rPr>
          <w:rFonts w:cstheme="minorHAnsi"/>
          <w:lang w:val="en-US"/>
        </w:rPr>
        <w:t>culture</w:t>
      </w:r>
      <w:r w:rsidRPr="00665B2B">
        <w:rPr>
          <w:rFonts w:cstheme="minorHAnsi"/>
        </w:rPr>
        <w:t>)</w:t>
      </w:r>
    </w:p>
    <w:p w14:paraId="5DFF8DBF" w14:textId="24E1D790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αποτυπώνει, σε συνεργασία με τη Διοίκηση και τους υπεύθυνους των επιμέρους μονάδων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 (</w:t>
      </w:r>
      <w:proofErr w:type="spellStart"/>
      <w:r w:rsidRPr="002131AD">
        <w:rPr>
          <w:rFonts w:cstheme="minorHAnsi"/>
        </w:rPr>
        <w:t>risk</w:t>
      </w:r>
      <w:proofErr w:type="spellEnd"/>
      <w:r w:rsidRPr="002131AD">
        <w:rPr>
          <w:rFonts w:cstheme="minorHAnsi"/>
        </w:rPr>
        <w:t xml:space="preserve"> </w:t>
      </w:r>
      <w:proofErr w:type="spellStart"/>
      <w:r w:rsidRPr="002131AD">
        <w:rPr>
          <w:rFonts w:cstheme="minorHAnsi"/>
        </w:rPr>
        <w:t>owners</w:t>
      </w:r>
      <w:proofErr w:type="spellEnd"/>
      <w:r w:rsidRPr="002131AD">
        <w:rPr>
          <w:rFonts w:cstheme="minorHAnsi"/>
        </w:rPr>
        <w:t>), τους υφιστάμενους κινδύνους από τις βασικές λειτουργίες που εκτελούνται για την εκπλήρωση των επιχειρηματικών στόχων.</w:t>
      </w:r>
    </w:p>
    <w:p w14:paraId="2FEDB06E" w14:textId="77777777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αναπτύσσει και να διατηρεί μητρώο αξιολόγησης κινδύνων όπου θα προσδιορίζονται οι σημαντικότεροι κίνδυνοι. </w:t>
      </w:r>
    </w:p>
    <w:p w14:paraId="4C962FD8" w14:textId="77777777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Να υποστηρίζει συμβουλευτικά την Εκτελεστική Διοίκηση και το Διοικητικό Συμβούλιο στις υποχρεώσεις τους σχετικά με την προσήκουσα διαδικασία διαχείρισης κινδύνων, όπως αυτές αποτυπώνονται στην «</w:t>
      </w:r>
      <w:r w:rsidRPr="002131AD">
        <w:rPr>
          <w:rFonts w:cstheme="minorHAnsi"/>
          <w:i/>
          <w:iCs/>
        </w:rPr>
        <w:t>Πολιτική και Μεθοδολογία Διαχείρισης Κινδύνων</w:t>
      </w:r>
      <w:r w:rsidRPr="002131AD">
        <w:rPr>
          <w:rFonts w:cstheme="minorHAnsi"/>
        </w:rPr>
        <w:t>», μέσω της κατάλληλης επικοινωνίας (αναφορές, ad-hoc ενημερώσεις, προτάσεις κλπ).</w:t>
      </w:r>
    </w:p>
    <w:p w14:paraId="38B6610A" w14:textId="29C7F371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Να συμμετέχει</w:t>
      </w:r>
      <w:r w:rsidR="00694CAA" w:rsidRPr="002131AD">
        <w:rPr>
          <w:rFonts w:cstheme="minorHAnsi"/>
        </w:rPr>
        <w:t xml:space="preserve"> αν ζητηθεί</w:t>
      </w:r>
      <w:r w:rsidRPr="002131AD">
        <w:rPr>
          <w:rFonts w:cstheme="minorHAnsi"/>
        </w:rPr>
        <w:t xml:space="preserve">, υποστηρίζοντας τη Διοίκηση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ς, σε πιθανό μηχανισμό αντιμετώπισης έκτακτων κινδύνων ή κρίσεως (Crisis Management). </w:t>
      </w:r>
    </w:p>
    <w:p w14:paraId="47B581DE" w14:textId="136308B7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συμμετέχει </w:t>
      </w:r>
      <w:r w:rsidR="00694CAA" w:rsidRPr="002131AD">
        <w:rPr>
          <w:rFonts w:cstheme="minorHAnsi"/>
        </w:rPr>
        <w:t xml:space="preserve">αν ζητηθεί, </w:t>
      </w:r>
      <w:r w:rsidRPr="002131AD">
        <w:rPr>
          <w:rFonts w:cstheme="minorHAnsi"/>
        </w:rPr>
        <w:t xml:space="preserve">στο σχεδιασμό και την παρακολούθηση της διαδικασίας διαχείρισης κινδύνων που απειλούν την επιχειρησιακή συνέχιση δραστηριότητας (business continuity mgt). </w:t>
      </w:r>
    </w:p>
    <w:p w14:paraId="1943F532" w14:textId="1691B7FB" w:rsidR="00EA1825" w:rsidRPr="002131AD" w:rsidRDefault="00EA1825" w:rsidP="00EA1825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bookmarkStart w:id="73" w:name="_Hlk156472926"/>
      <w:r w:rsidRPr="002131AD">
        <w:rPr>
          <w:rFonts w:cstheme="minorHAnsi"/>
        </w:rPr>
        <w:t xml:space="preserve">Να προετοιμάζει και να υποβάλλει αναφορές προς </w:t>
      </w:r>
      <w:r w:rsidR="00694CAA" w:rsidRPr="002131AD">
        <w:rPr>
          <w:rFonts w:cstheme="minorHAnsi"/>
        </w:rPr>
        <w:t>το</w:t>
      </w:r>
      <w:r w:rsidR="00C953D1" w:rsidRPr="002131AD">
        <w:rPr>
          <w:rFonts w:cstheme="minorHAnsi"/>
        </w:rPr>
        <w:t>ν Εντεταλμένο Σύμβουλο και το</w:t>
      </w:r>
      <w:r w:rsidR="00694CAA" w:rsidRPr="002131AD">
        <w:rPr>
          <w:rFonts w:cstheme="minorHAnsi"/>
        </w:rPr>
        <w:t xml:space="preserve"> Συμβούλιο Διεύθυνσης</w:t>
      </w:r>
      <w:r w:rsidRPr="002131AD">
        <w:rPr>
          <w:rFonts w:cstheme="minorHAnsi"/>
        </w:rPr>
        <w:t xml:space="preserve"> και οπωσδήποτε, σε </w:t>
      </w:r>
      <w:r w:rsidR="00694CAA" w:rsidRPr="002131AD">
        <w:rPr>
          <w:rFonts w:cstheme="minorHAnsi"/>
        </w:rPr>
        <w:t>εξαμηνιαία</w:t>
      </w:r>
      <w:r w:rsidRPr="002131AD">
        <w:rPr>
          <w:rFonts w:cstheme="minorHAnsi"/>
        </w:rPr>
        <w:t xml:space="preserve"> βάση, </w:t>
      </w:r>
      <w:r w:rsidR="00B24FA1">
        <w:rPr>
          <w:rFonts w:cstheme="minorHAnsi"/>
        </w:rPr>
        <w:t xml:space="preserve">να υποβάλλει </w:t>
      </w:r>
      <w:r w:rsidRPr="002131AD">
        <w:rPr>
          <w:rFonts w:cstheme="minorHAnsi"/>
        </w:rPr>
        <w:t>μία απολογιστική αναφορά με πληροφόρηση σχετικά με τα εξής:</w:t>
      </w:r>
    </w:p>
    <w:p w14:paraId="5F2246F2" w14:textId="7EC5E6F5" w:rsidR="00EA1825" w:rsidRPr="002131AD" w:rsidRDefault="00EA1825" w:rsidP="00EA1825">
      <w:pPr>
        <w:numPr>
          <w:ilvl w:val="1"/>
          <w:numId w:val="3"/>
        </w:numPr>
        <w:spacing w:before="240" w:after="0" w:line="276" w:lineRule="auto"/>
        <w:ind w:left="993" w:firstLine="0"/>
        <w:contextualSpacing/>
        <w:jc w:val="both"/>
        <w:rPr>
          <w:rFonts w:ascii="Calibri" w:hAnsi="Calibri" w:cs="Calibri"/>
        </w:rPr>
      </w:pPr>
      <w:r w:rsidRPr="002131AD">
        <w:rPr>
          <w:rFonts w:ascii="Calibri" w:hAnsi="Calibri" w:cs="Calibri"/>
        </w:rPr>
        <w:t xml:space="preserve">την απόδοσή της για </w:t>
      </w:r>
      <w:r w:rsidR="00694CAA" w:rsidRPr="002131AD">
        <w:rPr>
          <w:rFonts w:ascii="Calibri" w:hAnsi="Calibri" w:cs="Calibri"/>
        </w:rPr>
        <w:t>την περίοδο</w:t>
      </w:r>
      <w:r w:rsidRPr="002131AD">
        <w:rPr>
          <w:rFonts w:ascii="Calibri" w:hAnsi="Calibri" w:cs="Calibri"/>
        </w:rPr>
        <w:t xml:space="preserve"> αναφοράς, </w:t>
      </w:r>
    </w:p>
    <w:p w14:paraId="41088C34" w14:textId="0DA99D93" w:rsidR="00EA1825" w:rsidRPr="002131AD" w:rsidRDefault="00EA1825" w:rsidP="00EA1825">
      <w:pPr>
        <w:numPr>
          <w:ilvl w:val="1"/>
          <w:numId w:val="3"/>
        </w:numPr>
        <w:spacing w:before="240" w:after="0" w:line="276" w:lineRule="auto"/>
        <w:ind w:left="993" w:firstLine="0"/>
        <w:contextualSpacing/>
        <w:jc w:val="both"/>
        <w:rPr>
          <w:rFonts w:ascii="Calibri" w:hAnsi="Calibri" w:cs="Calibri"/>
        </w:rPr>
      </w:pPr>
      <w:r w:rsidRPr="002131AD">
        <w:rPr>
          <w:rFonts w:ascii="Calibri" w:hAnsi="Calibri" w:cs="Calibri"/>
        </w:rPr>
        <w:t xml:space="preserve">πληροφόρηση </w:t>
      </w:r>
      <w:r w:rsidR="00694CAA" w:rsidRPr="002131AD">
        <w:rPr>
          <w:rFonts w:ascii="Calibri" w:hAnsi="Calibri" w:cs="Calibri"/>
        </w:rPr>
        <w:t>σχετικά με τους</w:t>
      </w:r>
      <w:r w:rsidRPr="002131AD">
        <w:rPr>
          <w:rFonts w:ascii="Calibri" w:hAnsi="Calibri" w:cs="Calibri"/>
        </w:rPr>
        <w:t xml:space="preserve"> κινδύνους που έχει αναλάβει ή διατρέχει η </w:t>
      </w:r>
      <w:r w:rsidR="00C953D1" w:rsidRPr="002131AD">
        <w:rPr>
          <w:rFonts w:ascii="Calibri" w:hAnsi="Calibri" w:cs="Calibri"/>
        </w:rPr>
        <w:t>Εταιρεία</w:t>
      </w:r>
      <w:r w:rsidRPr="002131AD">
        <w:rPr>
          <w:rFonts w:ascii="Calibri" w:hAnsi="Calibri" w:cs="Calibri"/>
        </w:rPr>
        <w:t xml:space="preserve">, όπως αυτοί προκύπτουν από το μητρώο κινδύνων της </w:t>
      </w:r>
      <w:r w:rsidR="00C953D1" w:rsidRPr="002131AD">
        <w:rPr>
          <w:rFonts w:ascii="Calibri" w:hAnsi="Calibri" w:cs="Calibri"/>
        </w:rPr>
        <w:t>Εταιρεία</w:t>
      </w:r>
      <w:r w:rsidRPr="002131AD">
        <w:rPr>
          <w:rFonts w:ascii="Calibri" w:hAnsi="Calibri" w:cs="Calibri"/>
        </w:rPr>
        <w:t>ς</w:t>
      </w:r>
    </w:p>
    <w:bookmarkEnd w:id="73"/>
    <w:p w14:paraId="7FF77C01" w14:textId="476FFC29" w:rsidR="00EA1825" w:rsidRPr="002131AD" w:rsidRDefault="00EA1825" w:rsidP="00830798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διαχειρίζεται και να εξελίσσει τα συστήματα μέτρησης και παρακολούθησης </w:t>
      </w:r>
      <w:r w:rsidR="00207744" w:rsidRPr="002131AD">
        <w:rPr>
          <w:rFonts w:cstheme="minorHAnsi"/>
        </w:rPr>
        <w:t>των κινδύνων.</w:t>
      </w:r>
    </w:p>
    <w:p w14:paraId="01C7420E" w14:textId="77777777" w:rsidR="00EC4B67" w:rsidRPr="002131AD" w:rsidRDefault="00EC4B67" w:rsidP="00EC4B67">
      <w:pPr>
        <w:spacing w:line="276" w:lineRule="auto"/>
        <w:ind w:left="709"/>
        <w:contextualSpacing/>
        <w:jc w:val="both"/>
        <w:rPr>
          <w:rFonts w:cstheme="minorHAnsi"/>
        </w:rPr>
      </w:pPr>
    </w:p>
    <w:p w14:paraId="545D3FC1" w14:textId="153ADAF3" w:rsidR="00EA1825" w:rsidRPr="002131AD" w:rsidRDefault="00EA1825" w:rsidP="00EC4B67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Για την αποτελεσματική άσκηση των αρμοδιοτήτων της, η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>:</w:t>
      </w:r>
    </w:p>
    <w:p w14:paraId="18639FAA" w14:textId="455E6A15" w:rsidR="00EA1825" w:rsidRPr="002131AD" w:rsidRDefault="00EA1825" w:rsidP="005D210D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lastRenderedPageBreak/>
        <w:t xml:space="preserve">Έχει πρόσβαση σε όλες τις δραστηριότητες και μονάδες, καθώς και σε όλα τα στοιχεία και πληροφορίες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ς, που είναι απαραίτητα για την εκπλήρωση του έργου της.</w:t>
      </w:r>
      <w:r w:rsidR="00694CAA" w:rsidRPr="002131AD">
        <w:rPr>
          <w:rFonts w:cstheme="minorHAnsi"/>
        </w:rPr>
        <w:t xml:space="preserve"> Για την παροχή πρόσβασης ισχύουν οι πολιτικές και οι διαδικασίες της </w:t>
      </w:r>
      <w:r w:rsidR="00C953D1" w:rsidRPr="002131AD">
        <w:rPr>
          <w:rFonts w:cstheme="minorHAnsi"/>
        </w:rPr>
        <w:t>Εταιρεία</w:t>
      </w:r>
      <w:r w:rsidR="00694CAA" w:rsidRPr="002131AD">
        <w:rPr>
          <w:rFonts w:cstheme="minorHAnsi"/>
        </w:rPr>
        <w:t xml:space="preserve">ς. </w:t>
      </w:r>
    </w:p>
    <w:p w14:paraId="40F0FA59" w14:textId="77777777" w:rsidR="00EA1825" w:rsidRPr="002131AD" w:rsidRDefault="00EA1825" w:rsidP="005D210D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Διαθέτει επαρκές προσωπικό με εξειδικευμένες γνώσεις σε θέματα διαχείρισης κινδύνων.</w:t>
      </w:r>
    </w:p>
    <w:p w14:paraId="77C10E02" w14:textId="1042D4BF" w:rsidR="00EA1825" w:rsidRPr="003943D1" w:rsidRDefault="00EA1825" w:rsidP="005D210D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3943D1">
        <w:rPr>
          <w:rFonts w:cstheme="minorHAnsi"/>
        </w:rPr>
        <w:t xml:space="preserve">Μπορεί να ανατίθεται ή να υποστηρίζεται από τρίτους φορείς, εκτός </w:t>
      </w:r>
      <w:r w:rsidR="00C953D1" w:rsidRPr="003943D1">
        <w:rPr>
          <w:rFonts w:cstheme="minorHAnsi"/>
        </w:rPr>
        <w:t>Εταιρεία</w:t>
      </w:r>
      <w:r w:rsidRPr="003943D1">
        <w:rPr>
          <w:rFonts w:cstheme="minorHAnsi"/>
        </w:rPr>
        <w:t>ς, όταν κρίνεται αναγκαίο (</w:t>
      </w:r>
      <w:proofErr w:type="spellStart"/>
      <w:r w:rsidRPr="003943D1">
        <w:rPr>
          <w:rFonts w:cstheme="minorHAnsi"/>
        </w:rPr>
        <w:t>outsourcing</w:t>
      </w:r>
      <w:proofErr w:type="spellEnd"/>
      <w:r w:rsidRPr="003943D1">
        <w:rPr>
          <w:rFonts w:cstheme="minorHAnsi"/>
        </w:rPr>
        <w:t xml:space="preserve"> / </w:t>
      </w:r>
      <w:proofErr w:type="spellStart"/>
      <w:r w:rsidRPr="003943D1">
        <w:rPr>
          <w:rFonts w:cstheme="minorHAnsi"/>
        </w:rPr>
        <w:t>cosourcing</w:t>
      </w:r>
      <w:proofErr w:type="spellEnd"/>
      <w:r w:rsidRPr="003943D1">
        <w:rPr>
          <w:rFonts w:cstheme="minorHAnsi"/>
        </w:rPr>
        <w:t>).</w:t>
      </w:r>
    </w:p>
    <w:p w14:paraId="2686BAB0" w14:textId="77777777" w:rsidR="00EC4B67" w:rsidRPr="002131AD" w:rsidRDefault="00EC4B67" w:rsidP="00EC4B67">
      <w:pPr>
        <w:spacing w:line="276" w:lineRule="auto"/>
        <w:ind w:left="1080"/>
        <w:contextualSpacing/>
        <w:jc w:val="both"/>
        <w:rPr>
          <w:rFonts w:cstheme="minorHAnsi"/>
        </w:rPr>
      </w:pPr>
    </w:p>
    <w:p w14:paraId="33693252" w14:textId="7B9D57FD" w:rsidR="009F60FD" w:rsidRPr="002131AD" w:rsidRDefault="002305F7" w:rsidP="009F60FD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 w:val="24"/>
        </w:rPr>
      </w:pPr>
      <w:bookmarkStart w:id="74" w:name="_Toc133501069"/>
      <w:bookmarkStart w:id="75" w:name="_Toc72855723"/>
      <w:bookmarkStart w:id="76" w:name="_Toc72855680"/>
      <w:bookmarkStart w:id="77" w:name="_Toc71736333"/>
      <w:r w:rsidRPr="002131AD">
        <w:rPr>
          <w:rFonts w:asciiTheme="minorHAnsi" w:hAnsiTheme="minorHAnsi" w:cstheme="minorHAnsi"/>
          <w:b/>
          <w:color w:val="auto"/>
          <w:sz w:val="24"/>
        </w:rPr>
        <w:t>Υ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πεύθυνος </w:t>
      </w:r>
      <w:r w:rsidR="00E738C1" w:rsidRPr="002131AD">
        <w:rPr>
          <w:rFonts w:asciiTheme="minorHAnsi" w:hAnsiTheme="minorHAnsi" w:cstheme="minorHAnsi"/>
          <w:b/>
          <w:color w:val="auto"/>
          <w:sz w:val="24"/>
        </w:rPr>
        <w:t>Υπηρεσίας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Διαχείρισης Κινδύνων</w:t>
      </w:r>
      <w:bookmarkEnd w:id="74"/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  <w:bookmarkEnd w:id="75"/>
      <w:bookmarkEnd w:id="76"/>
      <w:bookmarkEnd w:id="77"/>
    </w:p>
    <w:p w14:paraId="14271683" w14:textId="013D8AB8" w:rsidR="001E237C" w:rsidRPr="002131AD" w:rsidRDefault="001E237C" w:rsidP="001E237C">
      <w:pPr>
        <w:jc w:val="both"/>
        <w:rPr>
          <w:rFonts w:cstheme="minorHAnsi"/>
        </w:rPr>
      </w:pPr>
    </w:p>
    <w:p w14:paraId="59634FEB" w14:textId="60902285" w:rsidR="00617137" w:rsidRPr="002131AD" w:rsidRDefault="00617137" w:rsidP="00617137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Σημαντικό ρόλο στο Σύστημα Διαχείρισης Κινδύνων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ς, έχει ο Υπεύθυνος Διαχείρισης Κινδύνων </w:t>
      </w:r>
      <w:r w:rsidR="00E738C1" w:rsidRPr="002131AD">
        <w:rPr>
          <w:rFonts w:cstheme="minorHAnsi"/>
        </w:rPr>
        <w:t xml:space="preserve">(ΥπΔΚ) </w:t>
      </w:r>
      <w:r w:rsidRPr="002131AD">
        <w:rPr>
          <w:rFonts w:cstheme="minorHAnsi"/>
        </w:rPr>
        <w:t xml:space="preserve">και το παρόν αποτελεί χάρτη των βασικών αρμοδιοτήτων του. </w:t>
      </w:r>
    </w:p>
    <w:p w14:paraId="51FDC363" w14:textId="0468B7AE" w:rsidR="00617137" w:rsidRPr="002131AD" w:rsidRDefault="00617137" w:rsidP="00617137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O </w:t>
      </w:r>
      <w:r w:rsidR="00E738C1" w:rsidRPr="002131AD">
        <w:rPr>
          <w:rFonts w:cstheme="minorHAnsi"/>
        </w:rPr>
        <w:t>ΥπΔΚ</w:t>
      </w:r>
      <w:r w:rsidRPr="002131AD">
        <w:rPr>
          <w:rFonts w:cstheme="minorHAnsi"/>
        </w:rPr>
        <w:t xml:space="preserve"> είναι αρμόδιος για την οργάνωση και λειτουργία της </w:t>
      </w:r>
      <w:r w:rsidR="00E738C1" w:rsidRPr="002131AD">
        <w:rPr>
          <w:rFonts w:cstheme="minorHAnsi"/>
        </w:rPr>
        <w:t>Υπηρεσίας</w:t>
      </w:r>
      <w:r w:rsidRPr="002131AD">
        <w:rPr>
          <w:rFonts w:cstheme="minorHAnsi"/>
        </w:rPr>
        <w:t xml:space="preserve">. </w:t>
      </w:r>
      <w:r w:rsidRPr="003943D1">
        <w:rPr>
          <w:rFonts w:cstheme="minorHAnsi"/>
        </w:rPr>
        <w:t>Η τοποθέτησή του γίνεται από το ΔΣ</w:t>
      </w:r>
      <w:r w:rsidRPr="002131AD">
        <w:rPr>
          <w:rFonts w:cstheme="minorHAnsi"/>
        </w:rPr>
        <w:t>, όπως και η τυχόν αντικατάστασή του. Διαθέτει υψηλού επιπέδου γνώσεις και επαρκή εμπειρία σε θέματα διαχείρισης κινδύνων, τις σχετικές μεθόδους και τις βέλτιστες διεθνείς πρακτικές.</w:t>
      </w:r>
    </w:p>
    <w:p w14:paraId="0F3D7EB7" w14:textId="6C57A58C" w:rsidR="00617137" w:rsidRPr="002131AD" w:rsidRDefault="00617137" w:rsidP="00617137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 xml:space="preserve">Ο </w:t>
      </w:r>
      <w:proofErr w:type="spellStart"/>
      <w:r w:rsidR="00E738C1" w:rsidRPr="002131AD">
        <w:rPr>
          <w:rFonts w:cstheme="minorHAnsi"/>
        </w:rPr>
        <w:t>ΥπΔΚ</w:t>
      </w:r>
      <w:proofErr w:type="spellEnd"/>
      <w:r w:rsidR="00E738C1" w:rsidRPr="002131AD">
        <w:rPr>
          <w:rFonts w:cstheme="minorHAnsi"/>
        </w:rPr>
        <w:t xml:space="preserve"> </w:t>
      </w:r>
      <w:r w:rsidRPr="002131AD">
        <w:rPr>
          <w:rFonts w:cstheme="minorHAnsi"/>
        </w:rPr>
        <w:t xml:space="preserve">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 έχει την ευθύνη της εφαρμογής και της παρακολούθησης της Πολιτικής και Μεθοδολογίας διαχείρισης κινδύνων. Σε συνδυασμό με τις αρμοδιότητες της </w:t>
      </w:r>
      <w:r w:rsidR="00E738C1" w:rsidRPr="002131AD">
        <w:rPr>
          <w:rFonts w:cstheme="minorHAnsi"/>
        </w:rPr>
        <w:t>Υ</w:t>
      </w:r>
      <w:r w:rsidRPr="002131AD">
        <w:rPr>
          <w:rFonts w:cstheme="minorHAnsi"/>
        </w:rPr>
        <w:t>ΔΚ, ενδεικτικά τα καθήκοντα και οι αρμοδιότητες του, είναι οι κάτωθι:</w:t>
      </w:r>
    </w:p>
    <w:p w14:paraId="4532EC7A" w14:textId="18A87296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</w:t>
      </w:r>
      <w:r w:rsidR="00665B2B">
        <w:rPr>
          <w:rFonts w:cstheme="minorHAnsi"/>
        </w:rPr>
        <w:t>υποστηρίζει</w:t>
      </w:r>
      <w:r w:rsidR="00665B2B" w:rsidRPr="002131AD">
        <w:rPr>
          <w:rFonts w:cstheme="minorHAnsi"/>
        </w:rPr>
        <w:t xml:space="preserve"> </w:t>
      </w:r>
      <w:r w:rsidRPr="002131AD">
        <w:rPr>
          <w:rFonts w:cstheme="minorHAnsi"/>
        </w:rPr>
        <w:t xml:space="preserve">τις δραστηριότητες διαχείρισης κινδύνων εντός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>ς.</w:t>
      </w:r>
    </w:p>
    <w:p w14:paraId="4DA6CE6D" w14:textId="77777777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Να διασφαλίζει την ύπαρξη και εφαρμογή κατάλληλης πολιτικής και μεθοδολογίας διαχείρισης κινδύνων.</w:t>
      </w:r>
    </w:p>
    <w:p w14:paraId="1349F7BA" w14:textId="77777777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>Να συμμετέχει συμβουλευτικά στη διαδικασία λήψης αποφάσεων σχετικά με τη διαχείριση κινδύνων.</w:t>
      </w:r>
    </w:p>
    <w:p w14:paraId="17B16307" w14:textId="1140A66F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</w:t>
      </w:r>
      <w:r w:rsidR="005800A9">
        <w:rPr>
          <w:rFonts w:cstheme="minorHAnsi"/>
        </w:rPr>
        <w:t>π</w:t>
      </w:r>
      <w:r w:rsidR="005800A9" w:rsidRPr="002131AD">
        <w:rPr>
          <w:rFonts w:cstheme="minorHAnsi"/>
        </w:rPr>
        <w:t xml:space="preserve"> </w:t>
      </w:r>
      <w:r w:rsidRPr="002131AD">
        <w:rPr>
          <w:rFonts w:cstheme="minorHAnsi"/>
        </w:rPr>
        <w:t>την ορθή τήρηση και αναφορά επί ορίων και περιορισμών που θέτει η Διοίκηση για τη διαχείριση κινδύνων, καθώς και τυχόν σχετικών εποπτικών απαιτήσεων.</w:t>
      </w:r>
    </w:p>
    <w:p w14:paraId="0B30CFD3" w14:textId="783D9DCD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bookmarkStart w:id="78" w:name="_Hlk73356732"/>
      <w:r w:rsidRPr="002131AD">
        <w:rPr>
          <w:rFonts w:cstheme="minorHAnsi"/>
        </w:rPr>
        <w:t xml:space="preserve">Να συμμετέχει συμβουλευτικά κατά το στάδιο δημιουργίας νέων υπηρεσιών / </w:t>
      </w:r>
      <w:r w:rsidR="00B35E16" w:rsidRPr="002131AD">
        <w:rPr>
          <w:rFonts w:cstheme="minorHAnsi"/>
        </w:rPr>
        <w:t xml:space="preserve">έργων </w:t>
      </w:r>
      <w:r w:rsidRPr="002131AD">
        <w:rPr>
          <w:rFonts w:cstheme="minorHAnsi"/>
        </w:rPr>
        <w:t>αν αυτό ζητηθεί</w:t>
      </w:r>
    </w:p>
    <w:bookmarkEnd w:id="78"/>
    <w:p w14:paraId="6AA181AE" w14:textId="29F7531D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υποστηρίζει το ΔΣ και τις Επιτροπές του σε θέματα που άπτονται της διαχείρισης των κινδύνων της </w:t>
      </w:r>
      <w:r w:rsidR="00C953D1" w:rsidRPr="002131AD">
        <w:rPr>
          <w:rFonts w:cstheme="minorHAnsi"/>
        </w:rPr>
        <w:t>Εταιρεία</w:t>
      </w:r>
      <w:r w:rsidRPr="002131AD">
        <w:rPr>
          <w:rFonts w:cstheme="minorHAnsi"/>
        </w:rPr>
        <w:t xml:space="preserve">ς. </w:t>
      </w:r>
    </w:p>
    <w:p w14:paraId="50F8DA9C" w14:textId="35875B5E" w:rsidR="00617137" w:rsidRPr="002131AD" w:rsidRDefault="00617137" w:rsidP="00617137">
      <w:pPr>
        <w:numPr>
          <w:ilvl w:val="0"/>
          <w:numId w:val="3"/>
        </w:numPr>
        <w:spacing w:line="276" w:lineRule="auto"/>
        <w:ind w:left="709" w:hanging="349"/>
        <w:contextualSpacing/>
        <w:jc w:val="both"/>
        <w:rPr>
          <w:rFonts w:cstheme="minorHAnsi"/>
        </w:rPr>
      </w:pPr>
      <w:r w:rsidRPr="002131AD">
        <w:rPr>
          <w:rFonts w:cstheme="minorHAnsi"/>
        </w:rPr>
        <w:t xml:space="preserve">Να μεριμνά για τη διαρκή εκπαίδευση και ανάπτυξη των γνώσεων και δεξιοτήτων  τόσο του ιδίου όσο και του προσωπικού της </w:t>
      </w:r>
      <w:r w:rsidR="00E738C1" w:rsidRPr="002131AD">
        <w:rPr>
          <w:rFonts w:cstheme="minorHAnsi"/>
        </w:rPr>
        <w:t>ΥΔΚ</w:t>
      </w:r>
      <w:r w:rsidRPr="002131AD">
        <w:rPr>
          <w:rFonts w:cstheme="minorHAnsi"/>
        </w:rPr>
        <w:t>, εφόσον υφίσταται.</w:t>
      </w:r>
    </w:p>
    <w:p w14:paraId="08A1FE4B" w14:textId="2076E410" w:rsidR="002305F7" w:rsidRPr="002131AD" w:rsidRDefault="002305F7" w:rsidP="002305F7">
      <w:pPr>
        <w:jc w:val="both"/>
        <w:rPr>
          <w:rFonts w:cstheme="minorHAnsi"/>
        </w:rPr>
      </w:pPr>
    </w:p>
    <w:p w14:paraId="49A54808" w14:textId="2E3DCE06" w:rsidR="002305F7" w:rsidRPr="002131AD" w:rsidRDefault="002305F7" w:rsidP="00A43F21">
      <w:pPr>
        <w:pStyle w:val="Heading1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auto"/>
          <w:sz w:val="24"/>
        </w:rPr>
      </w:pPr>
      <w:bookmarkStart w:id="79" w:name="_Toc133501070"/>
      <w:bookmarkStart w:id="80" w:name="_Toc72855724"/>
      <w:bookmarkStart w:id="81" w:name="_Toc72855681"/>
      <w:bookmarkStart w:id="82" w:name="_Toc71736335"/>
      <w:r w:rsidRPr="002131AD">
        <w:rPr>
          <w:rFonts w:asciiTheme="minorHAnsi" w:hAnsiTheme="minorHAnsi" w:cstheme="minorHAnsi"/>
          <w:b/>
          <w:color w:val="auto"/>
          <w:sz w:val="24"/>
        </w:rPr>
        <w:t>Ι</w:t>
      </w:r>
      <w:r w:rsidR="007D0512" w:rsidRPr="002131AD">
        <w:rPr>
          <w:rFonts w:asciiTheme="minorHAnsi" w:hAnsiTheme="minorHAnsi" w:cstheme="minorHAnsi"/>
          <w:b/>
          <w:color w:val="auto"/>
          <w:sz w:val="24"/>
        </w:rPr>
        <w:t>σχύς</w:t>
      </w:r>
      <w:bookmarkEnd w:id="79"/>
      <w:r w:rsidR="007D0512" w:rsidRPr="002131AD">
        <w:rPr>
          <w:rFonts w:asciiTheme="minorHAnsi" w:hAnsiTheme="minorHAnsi" w:cstheme="minorHAnsi"/>
          <w:b/>
          <w:color w:val="auto"/>
          <w:sz w:val="24"/>
        </w:rPr>
        <w:t xml:space="preserve"> </w:t>
      </w:r>
      <w:bookmarkEnd w:id="80"/>
      <w:bookmarkEnd w:id="81"/>
      <w:bookmarkEnd w:id="82"/>
    </w:p>
    <w:p w14:paraId="64C92B01" w14:textId="77777777" w:rsidR="002305F7" w:rsidRPr="002131AD" w:rsidRDefault="002305F7" w:rsidP="002305F7">
      <w:pPr>
        <w:rPr>
          <w:rFonts w:cstheme="minorHAnsi"/>
        </w:rPr>
      </w:pPr>
    </w:p>
    <w:p w14:paraId="1483A5E0" w14:textId="433A0750" w:rsidR="002305F7" w:rsidRPr="003323CF" w:rsidRDefault="002305F7" w:rsidP="003323CF">
      <w:pPr>
        <w:spacing w:line="276" w:lineRule="auto"/>
        <w:jc w:val="both"/>
        <w:rPr>
          <w:rFonts w:cstheme="minorHAnsi"/>
        </w:rPr>
      </w:pPr>
      <w:r w:rsidRPr="002131AD">
        <w:rPr>
          <w:rFonts w:cstheme="minorHAnsi"/>
        </w:rPr>
        <w:t>Ο παρών Κανονισμός τίθεται σε ισχύ από την έγκρισ</w:t>
      </w:r>
      <w:r w:rsidR="00AD14B1" w:rsidRPr="002131AD">
        <w:rPr>
          <w:rFonts w:cstheme="minorHAnsi"/>
        </w:rPr>
        <w:t>ή</w:t>
      </w:r>
      <w:r w:rsidRPr="002131AD">
        <w:rPr>
          <w:rFonts w:cstheme="minorHAnsi"/>
        </w:rPr>
        <w:t xml:space="preserve"> του από το Διοικητικό Συμβούλιο και μπορεί να τροποποιείται οποτεδήποτε με απόφαση του Διοικητικού Συμβουλίου.</w:t>
      </w:r>
    </w:p>
    <w:sectPr w:rsidR="002305F7" w:rsidRPr="003323CF" w:rsidSect="00916116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3" w:bottom="1440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88237" w14:textId="77777777" w:rsidR="00F65795" w:rsidRDefault="00F65795" w:rsidP="005B256C">
      <w:pPr>
        <w:spacing w:after="0" w:line="240" w:lineRule="auto"/>
      </w:pPr>
      <w:r>
        <w:separator/>
      </w:r>
    </w:p>
  </w:endnote>
  <w:endnote w:type="continuationSeparator" w:id="0">
    <w:p w14:paraId="7E363144" w14:textId="77777777" w:rsidR="00F65795" w:rsidRDefault="00F65795" w:rsidP="005B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948F" w14:textId="2A6C95E0" w:rsidR="00AD4757" w:rsidRPr="00AD4757" w:rsidRDefault="00AD4757" w:rsidP="00AD4757">
    <w:pPr>
      <w:pStyle w:val="Footer"/>
      <w:rPr>
        <w:rFonts w:ascii="Tahoma" w:hAnsi="Tahoma" w:cs="Tahoma"/>
        <w:smallCaps/>
        <w:noProof/>
        <w:color w:val="404040"/>
        <w:sz w:val="16"/>
      </w:rPr>
    </w:pPr>
    <w:r>
      <w:rPr>
        <w:rFonts w:ascii="Tahoma" w:hAnsi="Tahoma" w:cs="Tahoma"/>
        <w:smallCaps/>
        <w:noProof/>
        <w:color w:val="404040"/>
        <w:sz w:val="16"/>
      </w:rPr>
      <w:fldChar w:fldCharType="begin"/>
    </w:r>
    <w:r>
      <w:rPr>
        <w:rFonts w:ascii="Tahoma" w:hAnsi="Tahoma" w:cs="Tahoma"/>
        <w:smallCaps/>
        <w:noProof/>
        <w:color w:val="404040"/>
        <w:sz w:val="16"/>
      </w:rPr>
      <w:instrText xml:space="preserve"> DOCPROPERTY "wsPV"  \* MERGEFORMAT </w:instrText>
    </w:r>
    <w:r>
      <w:rPr>
        <w:rFonts w:ascii="Tahoma" w:hAnsi="Tahoma" w:cs="Tahoma"/>
        <w:smallCaps/>
        <w:noProof/>
        <w:color w:val="404040"/>
        <w:sz w:val="16"/>
      </w:rPr>
      <w:fldChar w:fldCharType="separate"/>
    </w:r>
    <w:r w:rsidR="00BD1B81">
      <w:rPr>
        <w:rFonts w:ascii="Tahoma" w:hAnsi="Tahoma" w:cs="Tahoma"/>
        <w:smallCaps/>
        <w:noProof/>
        <w:color w:val="404040"/>
        <w:sz w:val="16"/>
      </w:rPr>
      <w:t>PV: 3013226.6</w:t>
    </w:r>
    <w:r>
      <w:rPr>
        <w:rFonts w:ascii="Tahoma" w:hAnsi="Tahoma" w:cs="Tahoma"/>
        <w:smallCaps/>
        <w:noProof/>
        <w:color w:val="40404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040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D48F2" w14:textId="785F29FF" w:rsidR="007D0512" w:rsidRDefault="007D05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3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B4F9485" w14:textId="745274B3" w:rsidR="008E2540" w:rsidRPr="00991880" w:rsidRDefault="008E2540" w:rsidP="008E2540">
    <w:pPr>
      <w:pStyle w:val="Footer"/>
      <w:rPr>
        <w:rFonts w:ascii="Tahoma" w:hAnsi="Tahoma" w:cs="Tahoma"/>
        <w:smallCaps/>
        <w:noProof/>
        <w:color w:val="404040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7227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AB1AC" w14:textId="3CE9BA40" w:rsidR="007D0512" w:rsidRDefault="007D05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3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D3FAD7" w14:textId="77777777" w:rsidR="007D0512" w:rsidRDefault="007D0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272B5" w14:textId="77777777" w:rsidR="00F65795" w:rsidRDefault="00F65795" w:rsidP="005B256C">
      <w:pPr>
        <w:spacing w:after="0" w:line="240" w:lineRule="auto"/>
      </w:pPr>
      <w:r>
        <w:separator/>
      </w:r>
    </w:p>
  </w:footnote>
  <w:footnote w:type="continuationSeparator" w:id="0">
    <w:p w14:paraId="5EC42107" w14:textId="77777777" w:rsidR="00F65795" w:rsidRDefault="00F65795" w:rsidP="005B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E7FDA" w14:textId="6F3759BE" w:rsidR="00153966" w:rsidRDefault="00F65795">
    <w:pPr>
      <w:pStyle w:val="Header"/>
    </w:pPr>
    <w:r>
      <w:rPr>
        <w:noProof/>
      </w:rPr>
      <w:pict w14:anchorId="19C32A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85782" o:spid="_x0000_s1025" type="#_x0000_t136" alt="" style="position:absolute;margin-left:0;margin-top:0;width:365.95pt;height:219.5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3AD46" w14:textId="77777777" w:rsidR="00440622" w:rsidRDefault="00440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53F"/>
    <w:multiLevelType w:val="hybridMultilevel"/>
    <w:tmpl w:val="A6E29AF0"/>
    <w:lvl w:ilvl="0" w:tplc="627452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2A37"/>
    <w:multiLevelType w:val="hybridMultilevel"/>
    <w:tmpl w:val="78FCC1C2"/>
    <w:lvl w:ilvl="0" w:tplc="0D364E3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2561"/>
    <w:multiLevelType w:val="multilevel"/>
    <w:tmpl w:val="76AC03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211138F"/>
    <w:multiLevelType w:val="multilevel"/>
    <w:tmpl w:val="FCCCA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5241FF1"/>
    <w:multiLevelType w:val="multilevel"/>
    <w:tmpl w:val="0408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7270027A"/>
    <w:multiLevelType w:val="hybridMultilevel"/>
    <w:tmpl w:val="78247B96"/>
    <w:lvl w:ilvl="0" w:tplc="A3A0A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ACF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A1A2E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026CC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0ECE3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122CC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0B687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6807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120CF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6" w15:restartNumberingAfterBreak="0">
    <w:nsid w:val="7B7F0432"/>
    <w:multiLevelType w:val="hybridMultilevel"/>
    <w:tmpl w:val="696245CC"/>
    <w:lvl w:ilvl="0" w:tplc="F5F66D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A2C8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AA05F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FAC9A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7CED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6E2B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C27C80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D140B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88EA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 w16cid:durableId="8413570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5227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0951272">
    <w:abstractNumId w:val="1"/>
  </w:num>
  <w:num w:numId="4" w16cid:durableId="220605922">
    <w:abstractNumId w:val="0"/>
  </w:num>
  <w:num w:numId="5" w16cid:durableId="978345893">
    <w:abstractNumId w:val="4"/>
  </w:num>
  <w:num w:numId="6" w16cid:durableId="1358313065">
    <w:abstractNumId w:val="2"/>
  </w:num>
  <w:num w:numId="7" w16cid:durableId="1728650830">
    <w:abstractNumId w:val="5"/>
  </w:num>
  <w:num w:numId="8" w16cid:durableId="1809128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5F7"/>
    <w:rsid w:val="0002232B"/>
    <w:rsid w:val="00026672"/>
    <w:rsid w:val="000303A8"/>
    <w:rsid w:val="000349D6"/>
    <w:rsid w:val="00060B3A"/>
    <w:rsid w:val="0007237B"/>
    <w:rsid w:val="00080607"/>
    <w:rsid w:val="0008468D"/>
    <w:rsid w:val="00085F87"/>
    <w:rsid w:val="000A2AA2"/>
    <w:rsid w:val="000B6CC8"/>
    <w:rsid w:val="000B7A53"/>
    <w:rsid w:val="000C76DC"/>
    <w:rsid w:val="000D7B2D"/>
    <w:rsid w:val="000E4422"/>
    <w:rsid w:val="000F7580"/>
    <w:rsid w:val="001020B1"/>
    <w:rsid w:val="001152DB"/>
    <w:rsid w:val="00153966"/>
    <w:rsid w:val="001578E4"/>
    <w:rsid w:val="001B5E53"/>
    <w:rsid w:val="001C4D98"/>
    <w:rsid w:val="001E237C"/>
    <w:rsid w:val="001E49B6"/>
    <w:rsid w:val="00200A0F"/>
    <w:rsid w:val="00207744"/>
    <w:rsid w:val="00207858"/>
    <w:rsid w:val="00212E6F"/>
    <w:rsid w:val="002131AD"/>
    <w:rsid w:val="002305F7"/>
    <w:rsid w:val="00264F61"/>
    <w:rsid w:val="002726E0"/>
    <w:rsid w:val="002A0131"/>
    <w:rsid w:val="002A17F5"/>
    <w:rsid w:val="002B22FF"/>
    <w:rsid w:val="002B2DF8"/>
    <w:rsid w:val="002B3314"/>
    <w:rsid w:val="002C0B59"/>
    <w:rsid w:val="002C36F3"/>
    <w:rsid w:val="002D69B5"/>
    <w:rsid w:val="002E3580"/>
    <w:rsid w:val="00300DE8"/>
    <w:rsid w:val="00310DF2"/>
    <w:rsid w:val="003136F9"/>
    <w:rsid w:val="003323CF"/>
    <w:rsid w:val="00344A2F"/>
    <w:rsid w:val="00345FE2"/>
    <w:rsid w:val="00355627"/>
    <w:rsid w:val="0038307D"/>
    <w:rsid w:val="003943D1"/>
    <w:rsid w:val="003A5F60"/>
    <w:rsid w:val="003B3801"/>
    <w:rsid w:val="003B5941"/>
    <w:rsid w:val="003D7B69"/>
    <w:rsid w:val="004002B4"/>
    <w:rsid w:val="00424DA7"/>
    <w:rsid w:val="004355B1"/>
    <w:rsid w:val="00440622"/>
    <w:rsid w:val="004420A3"/>
    <w:rsid w:val="00450D6E"/>
    <w:rsid w:val="0045332F"/>
    <w:rsid w:val="00473816"/>
    <w:rsid w:val="00476753"/>
    <w:rsid w:val="00480559"/>
    <w:rsid w:val="004B2766"/>
    <w:rsid w:val="004B2F4F"/>
    <w:rsid w:val="004C6AF6"/>
    <w:rsid w:val="004D45C5"/>
    <w:rsid w:val="004F58E1"/>
    <w:rsid w:val="0051787E"/>
    <w:rsid w:val="00521053"/>
    <w:rsid w:val="00522B3D"/>
    <w:rsid w:val="00532889"/>
    <w:rsid w:val="00537766"/>
    <w:rsid w:val="00540C87"/>
    <w:rsid w:val="00561613"/>
    <w:rsid w:val="00563B49"/>
    <w:rsid w:val="00567191"/>
    <w:rsid w:val="005800A9"/>
    <w:rsid w:val="00584126"/>
    <w:rsid w:val="005A3368"/>
    <w:rsid w:val="005B256C"/>
    <w:rsid w:val="005C250C"/>
    <w:rsid w:val="005C5E5A"/>
    <w:rsid w:val="005D171F"/>
    <w:rsid w:val="005D210D"/>
    <w:rsid w:val="005E418A"/>
    <w:rsid w:val="005E7761"/>
    <w:rsid w:val="00604215"/>
    <w:rsid w:val="0061414D"/>
    <w:rsid w:val="00617137"/>
    <w:rsid w:val="00625E3D"/>
    <w:rsid w:val="0064044C"/>
    <w:rsid w:val="006417DF"/>
    <w:rsid w:val="00641C16"/>
    <w:rsid w:val="00647D40"/>
    <w:rsid w:val="00662FE1"/>
    <w:rsid w:val="00665B2B"/>
    <w:rsid w:val="00694CAA"/>
    <w:rsid w:val="006A2994"/>
    <w:rsid w:val="006B0708"/>
    <w:rsid w:val="006B0DA2"/>
    <w:rsid w:val="006E2D99"/>
    <w:rsid w:val="006E3677"/>
    <w:rsid w:val="006E6558"/>
    <w:rsid w:val="006F3B52"/>
    <w:rsid w:val="006F490A"/>
    <w:rsid w:val="00707164"/>
    <w:rsid w:val="007212F7"/>
    <w:rsid w:val="0073161C"/>
    <w:rsid w:val="0075597E"/>
    <w:rsid w:val="00767A86"/>
    <w:rsid w:val="0077734E"/>
    <w:rsid w:val="0078675C"/>
    <w:rsid w:val="007928C4"/>
    <w:rsid w:val="007942DD"/>
    <w:rsid w:val="00795754"/>
    <w:rsid w:val="007B4619"/>
    <w:rsid w:val="007D0512"/>
    <w:rsid w:val="007E74A7"/>
    <w:rsid w:val="00821330"/>
    <w:rsid w:val="00822ABB"/>
    <w:rsid w:val="00830798"/>
    <w:rsid w:val="00841352"/>
    <w:rsid w:val="008527EE"/>
    <w:rsid w:val="00852D3C"/>
    <w:rsid w:val="00887ED0"/>
    <w:rsid w:val="00891C3D"/>
    <w:rsid w:val="008935C2"/>
    <w:rsid w:val="00893650"/>
    <w:rsid w:val="0089691C"/>
    <w:rsid w:val="008D4813"/>
    <w:rsid w:val="008E2540"/>
    <w:rsid w:val="00900219"/>
    <w:rsid w:val="00916116"/>
    <w:rsid w:val="00920339"/>
    <w:rsid w:val="00923781"/>
    <w:rsid w:val="00927EF6"/>
    <w:rsid w:val="00941499"/>
    <w:rsid w:val="00953B1A"/>
    <w:rsid w:val="0095452F"/>
    <w:rsid w:val="009573C2"/>
    <w:rsid w:val="00967B51"/>
    <w:rsid w:val="00971C92"/>
    <w:rsid w:val="009736AB"/>
    <w:rsid w:val="00991880"/>
    <w:rsid w:val="009A7883"/>
    <w:rsid w:val="009B22E4"/>
    <w:rsid w:val="009B5D5C"/>
    <w:rsid w:val="009C3712"/>
    <w:rsid w:val="009C64C6"/>
    <w:rsid w:val="009D0BF6"/>
    <w:rsid w:val="009F595D"/>
    <w:rsid w:val="009F60FD"/>
    <w:rsid w:val="00A220F3"/>
    <w:rsid w:val="00A25303"/>
    <w:rsid w:val="00A26607"/>
    <w:rsid w:val="00A43F21"/>
    <w:rsid w:val="00A5601C"/>
    <w:rsid w:val="00A71035"/>
    <w:rsid w:val="00A71604"/>
    <w:rsid w:val="00A87825"/>
    <w:rsid w:val="00A87AB6"/>
    <w:rsid w:val="00AD14B1"/>
    <w:rsid w:val="00AD15CC"/>
    <w:rsid w:val="00AD4757"/>
    <w:rsid w:val="00AE58AB"/>
    <w:rsid w:val="00AE5AE7"/>
    <w:rsid w:val="00AF1AD1"/>
    <w:rsid w:val="00AF6854"/>
    <w:rsid w:val="00B2054B"/>
    <w:rsid w:val="00B21052"/>
    <w:rsid w:val="00B22F09"/>
    <w:rsid w:val="00B24FA1"/>
    <w:rsid w:val="00B35E16"/>
    <w:rsid w:val="00B43724"/>
    <w:rsid w:val="00B47E9E"/>
    <w:rsid w:val="00B51022"/>
    <w:rsid w:val="00B61203"/>
    <w:rsid w:val="00B71985"/>
    <w:rsid w:val="00B7332A"/>
    <w:rsid w:val="00B9786C"/>
    <w:rsid w:val="00BA45C3"/>
    <w:rsid w:val="00BA4874"/>
    <w:rsid w:val="00BA52B1"/>
    <w:rsid w:val="00BB07B6"/>
    <w:rsid w:val="00BB3499"/>
    <w:rsid w:val="00BB6D4A"/>
    <w:rsid w:val="00BD1B81"/>
    <w:rsid w:val="00BD6EC3"/>
    <w:rsid w:val="00BE1648"/>
    <w:rsid w:val="00BF21C2"/>
    <w:rsid w:val="00BF45E4"/>
    <w:rsid w:val="00BF5327"/>
    <w:rsid w:val="00C13AE7"/>
    <w:rsid w:val="00C160DA"/>
    <w:rsid w:val="00C17645"/>
    <w:rsid w:val="00C22774"/>
    <w:rsid w:val="00C257C9"/>
    <w:rsid w:val="00C359C2"/>
    <w:rsid w:val="00C64E69"/>
    <w:rsid w:val="00C738BD"/>
    <w:rsid w:val="00C823C2"/>
    <w:rsid w:val="00C86659"/>
    <w:rsid w:val="00C953D1"/>
    <w:rsid w:val="00CC3CD0"/>
    <w:rsid w:val="00CC718F"/>
    <w:rsid w:val="00CD0AC6"/>
    <w:rsid w:val="00CF4D1B"/>
    <w:rsid w:val="00D10076"/>
    <w:rsid w:val="00D1522A"/>
    <w:rsid w:val="00D50FA8"/>
    <w:rsid w:val="00D57778"/>
    <w:rsid w:val="00D63EB0"/>
    <w:rsid w:val="00D83DE7"/>
    <w:rsid w:val="00D87000"/>
    <w:rsid w:val="00D91812"/>
    <w:rsid w:val="00D932F6"/>
    <w:rsid w:val="00D93F46"/>
    <w:rsid w:val="00D960D4"/>
    <w:rsid w:val="00D9684D"/>
    <w:rsid w:val="00DA120C"/>
    <w:rsid w:val="00DB2ADF"/>
    <w:rsid w:val="00DD5728"/>
    <w:rsid w:val="00DF5E70"/>
    <w:rsid w:val="00E016B1"/>
    <w:rsid w:val="00E11F71"/>
    <w:rsid w:val="00E2092F"/>
    <w:rsid w:val="00E278C8"/>
    <w:rsid w:val="00E3774B"/>
    <w:rsid w:val="00E37A60"/>
    <w:rsid w:val="00E47BF9"/>
    <w:rsid w:val="00E609AC"/>
    <w:rsid w:val="00E60FD3"/>
    <w:rsid w:val="00E738C1"/>
    <w:rsid w:val="00E76771"/>
    <w:rsid w:val="00E816A6"/>
    <w:rsid w:val="00E91FC5"/>
    <w:rsid w:val="00EA1825"/>
    <w:rsid w:val="00EB7735"/>
    <w:rsid w:val="00EC1206"/>
    <w:rsid w:val="00EC2631"/>
    <w:rsid w:val="00EC4B67"/>
    <w:rsid w:val="00EE57F8"/>
    <w:rsid w:val="00EF20AC"/>
    <w:rsid w:val="00EF4C9B"/>
    <w:rsid w:val="00F125DE"/>
    <w:rsid w:val="00F233B4"/>
    <w:rsid w:val="00F2637C"/>
    <w:rsid w:val="00F30A76"/>
    <w:rsid w:val="00F33AD5"/>
    <w:rsid w:val="00F40F5C"/>
    <w:rsid w:val="00F43BFC"/>
    <w:rsid w:val="00F516F3"/>
    <w:rsid w:val="00F64682"/>
    <w:rsid w:val="00F65795"/>
    <w:rsid w:val="00F8207E"/>
    <w:rsid w:val="00FA26B8"/>
    <w:rsid w:val="00FB2BCE"/>
    <w:rsid w:val="00FC46BE"/>
    <w:rsid w:val="00FE062F"/>
    <w:rsid w:val="00FE1EC5"/>
    <w:rsid w:val="00FF0093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EFC686"/>
  <w15:docId w15:val="{8541641A-EA0E-F045-B776-659F33DA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F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5F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05F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05F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30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05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481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D48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D48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8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8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2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6C"/>
  </w:style>
  <w:style w:type="paragraph" w:styleId="Footer">
    <w:name w:val="footer"/>
    <w:basedOn w:val="Normal"/>
    <w:link w:val="FooterChar"/>
    <w:uiPriority w:val="99"/>
    <w:unhideWhenUsed/>
    <w:rsid w:val="005B2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6C"/>
  </w:style>
  <w:style w:type="table" w:styleId="TableGrid">
    <w:name w:val="Table Grid"/>
    <w:basedOn w:val="TableNormal"/>
    <w:rsid w:val="00B5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0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2ABB"/>
    <w:pPr>
      <w:spacing w:after="100"/>
      <w:ind w:left="220"/>
    </w:pPr>
  </w:style>
  <w:style w:type="paragraph" w:styleId="Revision">
    <w:name w:val="Revision"/>
    <w:hidden/>
    <w:uiPriority w:val="99"/>
    <w:semiHidden/>
    <w:rsid w:val="00991880"/>
    <w:pPr>
      <w:spacing w:after="0" w:line="240" w:lineRule="auto"/>
    </w:pPr>
  </w:style>
  <w:style w:type="paragraph" w:customStyle="1" w:styleId="2">
    <w:name w:val="2"/>
    <w:basedOn w:val="Normal"/>
    <w:rsid w:val="00CC718F"/>
    <w:pPr>
      <w:spacing w:after="0" w:line="240" w:lineRule="auto"/>
    </w:pPr>
    <w:rPr>
      <w:rFonts w:ascii="Times New Roman" w:eastAsia="Times New Roman" w:hAnsi="Times New Roman" w:cs="Times New Roman"/>
      <w:sz w:val="40"/>
      <w:szCs w:val="24"/>
      <w:lang w:eastAsia="el-GR"/>
    </w:rPr>
  </w:style>
  <w:style w:type="paragraph" w:styleId="BodyText">
    <w:name w:val="Body Text"/>
    <w:basedOn w:val="Normal"/>
    <w:link w:val="BodyTextChar"/>
    <w:rsid w:val="00D91812"/>
    <w:pPr>
      <w:spacing w:after="0" w:line="360" w:lineRule="auto"/>
      <w:jc w:val="both"/>
    </w:pPr>
    <w:rPr>
      <w:rFonts w:ascii="Arial" w:eastAsia="Times New Roman" w:hAnsi="Arial" w:cs="Times New Roman"/>
      <w:sz w:val="18"/>
      <w:szCs w:val="24"/>
      <w:lang w:eastAsia="el-GR"/>
    </w:rPr>
  </w:style>
  <w:style w:type="character" w:customStyle="1" w:styleId="BodyTextChar">
    <w:name w:val="Body Text Char"/>
    <w:basedOn w:val="DefaultParagraphFont"/>
    <w:link w:val="BodyText"/>
    <w:rsid w:val="00D91812"/>
    <w:rPr>
      <w:rFonts w:ascii="Arial" w:eastAsia="Times New Roman" w:hAnsi="Arial" w:cs="Times New Roman"/>
      <w:sz w:val="18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9B5D5C"/>
    <w:rPr>
      <w:b/>
      <w:bCs/>
    </w:rPr>
  </w:style>
  <w:style w:type="character" w:customStyle="1" w:styleId="cf01">
    <w:name w:val="cf01"/>
    <w:basedOn w:val="DefaultParagraphFont"/>
    <w:rsid w:val="00C953D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2567-0F5B-486A-A531-FFCD1CF7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1209</Words>
  <Characters>6892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DIAKOPOULOU</dc:creator>
  <cp:keywords/>
  <dc:description/>
  <cp:lastModifiedBy>Alexis Hadjipanayis</cp:lastModifiedBy>
  <cp:revision>3</cp:revision>
  <cp:lastPrinted>2025-02-07T12:21:00Z</cp:lastPrinted>
  <dcterms:created xsi:type="dcterms:W3CDTF">2025-02-07T12:21:00Z</dcterms:created>
  <dcterms:modified xsi:type="dcterms:W3CDTF">2025-02-07T12:21:00Z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PV">
    <vt:lpwstr>PV: 3013226.6</vt:lpwstr>
  </property>
</Properties>
</file>