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545E" w:rsidRDefault="00D6545E">
      <w:pPr>
        <w:spacing w:before="50" w:after="50"/>
      </w:pPr>
    </w:p>
    <w:p w:rsidR="00D6545E" w:rsidRDefault="00D6545E">
      <w:pPr>
        <w:spacing w:before="50" w:after="50"/>
      </w:pPr>
    </w:p>
    <w:p w:rsidR="00D6545E" w:rsidRDefault="00FC6F25">
      <w:pPr>
        <w:spacing w:before="200" w:after="200"/>
        <w:jc w:val="center"/>
      </w:pPr>
      <w:r>
        <w:rPr>
          <w:b/>
          <w:bCs/>
          <w:sz w:val="36"/>
          <w:szCs w:val="36"/>
        </w:rPr>
        <w:t>DFT-Based Electronic Structure Analysis of Food Antioxidants</w:t>
      </w:r>
    </w:p>
    <w:p w:rsidR="00D6545E" w:rsidRDefault="00FC6F25">
      <w:pPr>
        <w:spacing w:before="100" w:after="400"/>
        <w:jc w:val="center"/>
      </w:pPr>
      <w:r>
        <w:rPr>
          <w:i/>
          <w:iCs/>
          <w:sz w:val="26"/>
          <w:szCs w:val="26"/>
        </w:rPr>
        <w:t xml:space="preserve">A Computational Study of Radical-Scavenging Activity Using ORCA, Python, </w:t>
      </w:r>
      <w:proofErr w:type="spellStart"/>
      <w:r>
        <w:rPr>
          <w:i/>
          <w:iCs/>
          <w:sz w:val="26"/>
          <w:szCs w:val="26"/>
        </w:rPr>
        <w:t>ChimeraX</w:t>
      </w:r>
      <w:proofErr w:type="spellEnd"/>
      <w:r>
        <w:rPr>
          <w:i/>
          <w:iCs/>
          <w:sz w:val="26"/>
          <w:szCs w:val="26"/>
        </w:rPr>
        <w:t xml:space="preserve">, and </w:t>
      </w:r>
      <w:proofErr w:type="spellStart"/>
      <w:r>
        <w:rPr>
          <w:i/>
          <w:iCs/>
          <w:sz w:val="26"/>
          <w:szCs w:val="26"/>
        </w:rPr>
        <w:t>Multiwfn</w:t>
      </w:r>
      <w:proofErr w:type="spellEnd"/>
    </w:p>
    <w:p w:rsidR="00D6545E" w:rsidRDefault="00FC6F25">
      <w:pPr>
        <w:spacing w:before="100" w:after="100"/>
        <w:jc w:val="center"/>
      </w:pPr>
      <w:proofErr w:type="spellStart"/>
      <w:r>
        <w:rPr>
          <w:b/>
          <w:bCs/>
          <w:sz w:val="28"/>
          <w:szCs w:val="28"/>
        </w:rPr>
        <w:t>Ahad</w:t>
      </w:r>
      <w:proofErr w:type="spellEnd"/>
      <w:r>
        <w:rPr>
          <w:b/>
          <w:bCs/>
          <w:sz w:val="28"/>
          <w:szCs w:val="28"/>
        </w:rPr>
        <w:t xml:space="preserve"> Khan</w:t>
      </w:r>
    </w:p>
    <w:p w:rsidR="00D6545E" w:rsidRDefault="00FC6F25">
      <w:pPr>
        <w:spacing w:before="50" w:after="50"/>
        <w:jc w:val="center"/>
      </w:pPr>
      <w:r>
        <w:t>B.Sc. Chemistry (Hons.), Food Science (Subsidiary)</w:t>
      </w:r>
    </w:p>
    <w:p w:rsidR="00D6545E" w:rsidRDefault="00FC6F25">
      <w:pPr>
        <w:spacing w:before="50" w:after="50"/>
        <w:jc w:val="center"/>
      </w:pPr>
      <w:r>
        <w:t>Institute of Excellence in Higher Education (IEHE), Bhopal</w:t>
      </w:r>
    </w:p>
    <w:p w:rsidR="00D6545E" w:rsidRDefault="00FC6F25">
      <w:pPr>
        <w:spacing w:before="50" w:after="400"/>
        <w:jc w:val="center"/>
      </w:pPr>
      <w:r>
        <w:t>Undergraduate Research Portfolio | 2026</w:t>
      </w:r>
    </w:p>
    <w:p w:rsidR="00D6545E" w:rsidRDefault="00FC6F25">
      <w:pPr>
        <w:spacing w:before="100" w:after="100"/>
        <w:jc w:val="center"/>
      </w:pPr>
      <w:r>
        <w:rPr>
          <w:i/>
          <w:iCs/>
          <w:sz w:val="22"/>
          <w:szCs w:val="22"/>
        </w:rPr>
        <w:t xml:space="preserve">Level of Theory: B3LYP/6-31G* | Software: ORCA 6.1.1, Python 3.13, </w:t>
      </w:r>
      <w:proofErr w:type="spellStart"/>
      <w:r>
        <w:rPr>
          <w:i/>
          <w:iCs/>
          <w:sz w:val="22"/>
          <w:szCs w:val="22"/>
        </w:rPr>
        <w:t>ChimeraX</w:t>
      </w:r>
      <w:proofErr w:type="spellEnd"/>
      <w:r>
        <w:rPr>
          <w:i/>
          <w:iCs/>
          <w:sz w:val="22"/>
          <w:szCs w:val="22"/>
        </w:rPr>
        <w:t xml:space="preserve"> 1.11.1, </w:t>
      </w:r>
      <w:proofErr w:type="spellStart"/>
      <w:r>
        <w:rPr>
          <w:i/>
          <w:iCs/>
          <w:sz w:val="22"/>
          <w:szCs w:val="22"/>
        </w:rPr>
        <w:t>Multiwfn</w:t>
      </w:r>
      <w:proofErr w:type="spellEnd"/>
      <w:r>
        <w:rPr>
          <w:i/>
          <w:iCs/>
          <w:sz w:val="22"/>
          <w:szCs w:val="22"/>
        </w:rPr>
        <w:t xml:space="preserve"> 2026.4, </w:t>
      </w:r>
      <w:proofErr w:type="gramStart"/>
      <w:r>
        <w:rPr>
          <w:i/>
          <w:iCs/>
          <w:sz w:val="22"/>
          <w:szCs w:val="22"/>
        </w:rPr>
        <w:t>Avogadro</w:t>
      </w:r>
      <w:proofErr w:type="gramEnd"/>
      <w:r>
        <w:rPr>
          <w:i/>
          <w:iCs/>
          <w:sz w:val="22"/>
          <w:szCs w:val="22"/>
        </w:rPr>
        <w:t xml:space="preserve"> 2</w:t>
      </w:r>
    </w:p>
    <w:p w:rsidR="00D6545E" w:rsidRDefault="00FC6F25">
      <w:r>
        <w:br w:type="page"/>
      </w:r>
    </w:p>
    <w:p w:rsidR="00D6545E" w:rsidRDefault="00FC6F25">
      <w:pPr>
        <w:pStyle w:val="Heading1"/>
        <w:spacing w:before="400" w:after="200"/>
      </w:pPr>
      <w:r>
        <w:lastRenderedPageBreak/>
        <w:t>1. Introduction</w:t>
      </w:r>
    </w:p>
    <w:p w:rsidR="00D6545E" w:rsidRDefault="00FC6F25">
      <w:pPr>
        <w:pStyle w:val="Heading2"/>
        <w:spacing w:before="300" w:after="150"/>
      </w:pPr>
      <w:r>
        <w:t>1.1 Free Radicals and Oxida</w:t>
      </w:r>
      <w:r>
        <w:t>tive Stress</w:t>
      </w:r>
    </w:p>
    <w:p w:rsidR="00D6545E" w:rsidRDefault="00FC6F25">
      <w:pPr>
        <w:spacing w:before="100" w:after="100"/>
        <w:jc w:val="both"/>
      </w:pPr>
      <w:r>
        <w:t xml:space="preserve">Every living cell in the human body continuously produces highly reactive molecules called </w:t>
      </w:r>
      <w:r>
        <w:rPr>
          <w:b/>
          <w:bCs/>
        </w:rPr>
        <w:t>free radicals</w:t>
      </w:r>
      <w:r>
        <w:t xml:space="preserve"> as by-products of normal metabolic processes such as respiration and energy production. A free radical is defined as any molecular species </w:t>
      </w:r>
      <w:r>
        <w:t>that contains one or more unpaired electrons in its outer orbital. This unpaired electron makes the molecule extremely unstable and chemically reactive — it aggressively seeks to capture an electron from nearby molecules to achieve stability.</w:t>
      </w:r>
    </w:p>
    <w:p w:rsidR="00D6545E" w:rsidRDefault="00FC6F25">
      <w:pPr>
        <w:spacing w:before="100" w:after="100"/>
        <w:jc w:val="both"/>
      </w:pPr>
      <w:r>
        <w:t>The most biol</w:t>
      </w:r>
      <w:r>
        <w:t xml:space="preserve">ogically damaging free radicals are </w:t>
      </w:r>
      <w:r>
        <w:rPr>
          <w:b/>
          <w:bCs/>
        </w:rPr>
        <w:t>Reactive Oxygen Species (ROS)</w:t>
      </w:r>
      <w:r>
        <w:t xml:space="preserve">, which include the superoxide radical (O₂•⁻), the hydroxyl radical (•OH), and hydrogen peroxide (H₂O₂). When these species are produced faster than the body can neutralise them, a state of </w:t>
      </w:r>
      <w:r>
        <w:rPr>
          <w:b/>
          <w:bCs/>
        </w:rPr>
        <w:t>o</w:t>
      </w:r>
      <w:r>
        <w:rPr>
          <w:b/>
          <w:bCs/>
        </w:rPr>
        <w:t>xidative stress</w:t>
      </w:r>
      <w:r>
        <w:t xml:space="preserve"> develops. Oxidative stress has been conclusively linked to numerous chronic diseases including cancer, cardiovascular disease, neurodegenerative disorders (Alzheimer's, Parkinson's), diabetes, and accelerated cellular ageing. It is also res</w:t>
      </w:r>
      <w:r>
        <w:t>ponsible for food spoilage through lipid peroxidation — the oxidative degradation of fats and oils.</w:t>
      </w:r>
    </w:p>
    <w:p w:rsidR="00D6545E" w:rsidRDefault="00FC6F25">
      <w:pPr>
        <w:pStyle w:val="Heading2"/>
        <w:spacing w:before="300" w:after="150"/>
      </w:pPr>
      <w:r>
        <w:t>1.2 Antioxidants and Their Mechanism of Action</w:t>
      </w:r>
    </w:p>
    <w:p w:rsidR="00D6545E" w:rsidRDefault="00FC6F25">
      <w:pPr>
        <w:spacing w:before="100" w:after="100"/>
        <w:jc w:val="both"/>
      </w:pPr>
      <w:r>
        <w:t xml:space="preserve">Antioxidants are molecules that can neutralise free radicals by </w:t>
      </w:r>
      <w:r>
        <w:rPr>
          <w:b/>
          <w:bCs/>
        </w:rPr>
        <w:t>donating one of their own electrons</w:t>
      </w:r>
      <w:r>
        <w:t xml:space="preserve"> to the ra</w:t>
      </w:r>
      <w:r>
        <w:t>dical, thereby stabilising it without themselves becoming dangerously reactive. The antioxidant molecule, after donating an electron, may become a radical itself — but a much less reactive, stable one that does not propagate the chain reaction of oxidative</w:t>
      </w:r>
      <w:r>
        <w:t xml:space="preserve"> damage.</w:t>
      </w:r>
    </w:p>
    <w:p w:rsidR="00D6545E" w:rsidRDefault="00FC6F25">
      <w:pPr>
        <w:spacing w:before="100" w:after="100"/>
        <w:jc w:val="both"/>
      </w:pPr>
      <w:r>
        <w:t xml:space="preserve">Polyphenolic compounds found in plants and foods — such as </w:t>
      </w:r>
      <w:r>
        <w:rPr>
          <w:b/>
          <w:bCs/>
        </w:rPr>
        <w:t xml:space="preserve">quercetin, </w:t>
      </w:r>
      <w:proofErr w:type="spellStart"/>
      <w:r>
        <w:rPr>
          <w:b/>
          <w:bCs/>
        </w:rPr>
        <w:t>catechin</w:t>
      </w:r>
      <w:proofErr w:type="spellEnd"/>
      <w:r>
        <w:rPr>
          <w:b/>
          <w:bCs/>
        </w:rPr>
        <w:t xml:space="preserve">, </w:t>
      </w:r>
      <w:proofErr w:type="spellStart"/>
      <w:r>
        <w:rPr>
          <w:b/>
          <w:bCs/>
        </w:rPr>
        <w:t>caffeic</w:t>
      </w:r>
      <w:proofErr w:type="spellEnd"/>
      <w:r>
        <w:rPr>
          <w:b/>
          <w:bCs/>
        </w:rPr>
        <w:t xml:space="preserve"> acid</w:t>
      </w:r>
      <w:r>
        <w:t xml:space="preserve">, and </w:t>
      </w:r>
      <w:proofErr w:type="spellStart"/>
      <w:r>
        <w:rPr>
          <w:b/>
          <w:bCs/>
        </w:rPr>
        <w:t>rutin</w:t>
      </w:r>
      <w:proofErr w:type="spellEnd"/>
      <w:r>
        <w:t xml:space="preserve"> — are among the most potent natural antioxidants known. They possess aromatic ring systems rich in hydroxyl (–OH) groups that make them excepti</w:t>
      </w:r>
      <w:r>
        <w:t xml:space="preserve">onal electron donors. </w:t>
      </w:r>
      <w:r>
        <w:rPr>
          <w:b/>
          <w:bCs/>
        </w:rPr>
        <w:t>Ascorbic acid (Vitamin C)</w:t>
      </w:r>
      <w:r>
        <w:t xml:space="preserve">, while structurally different from polyphenols, is another critically important food antioxidant that operates through a distinct </w:t>
      </w:r>
      <w:proofErr w:type="spellStart"/>
      <w:r>
        <w:t>enediol</w:t>
      </w:r>
      <w:proofErr w:type="spellEnd"/>
      <w:r>
        <w:t xml:space="preserve"> chemistry mechanism. Understanding why some of these molecules are str</w:t>
      </w:r>
      <w:r>
        <w:t xml:space="preserve">onger antioxidants than others at the molecular level is both a </w:t>
      </w:r>
      <w:r>
        <w:lastRenderedPageBreak/>
        <w:t>fundamental scientific question and a practically important one for food science and medicine.</w:t>
      </w:r>
    </w:p>
    <w:p w:rsidR="00D6545E" w:rsidRDefault="00FC6F25">
      <w:pPr>
        <w:pStyle w:val="Heading2"/>
        <w:spacing w:before="300" w:after="150"/>
      </w:pPr>
      <w:r>
        <w:t>1.3 Why Computational Chemistry?</w:t>
      </w:r>
    </w:p>
    <w:p w:rsidR="00D6545E" w:rsidRDefault="00FC6F25">
      <w:pPr>
        <w:spacing w:before="100" w:after="100"/>
        <w:jc w:val="both"/>
      </w:pPr>
      <w:r>
        <w:t>Experimental measurement of antioxidant activity — most commonly</w:t>
      </w:r>
      <w:r>
        <w:t xml:space="preserve"> using the </w:t>
      </w:r>
      <w:r>
        <w:rPr>
          <w:b/>
          <w:bCs/>
        </w:rPr>
        <w:t>DPPH (2</w:t>
      </w:r>
      <w:proofErr w:type="gramStart"/>
      <w:r>
        <w:rPr>
          <w:b/>
          <w:bCs/>
        </w:rPr>
        <w:t>,2</w:t>
      </w:r>
      <w:proofErr w:type="gramEnd"/>
      <w:r>
        <w:rPr>
          <w:b/>
          <w:bCs/>
        </w:rPr>
        <w:t>-diphenyl-1-picrylhydrazyl) radical scavenging assay</w:t>
      </w:r>
      <w:r>
        <w:t xml:space="preserve"> — tells us </w:t>
      </w:r>
      <w:r>
        <w:rPr>
          <w:i/>
          <w:iCs/>
        </w:rPr>
        <w:t>what</w:t>
      </w:r>
      <w:r>
        <w:t xml:space="preserve"> the antioxidant strength is, expressed as an IC₅₀ value (the concentration needed to neutralise 50% of free radicals). However, it does not tell us </w:t>
      </w:r>
      <w:r>
        <w:rPr>
          <w:i/>
          <w:iCs/>
        </w:rPr>
        <w:t>why</w:t>
      </w:r>
      <w:r>
        <w:t xml:space="preserve"> one molecule is</w:t>
      </w:r>
      <w:r>
        <w:t xml:space="preserve"> stronger than another at the quantum mechanical level. Computational chemistry bridges this gap by revealing the electronic structure — the arrangement and energetics of electrons — that underlies observed reactivity.</w:t>
      </w:r>
    </w:p>
    <w:p w:rsidR="00D6545E" w:rsidRDefault="00FC6F25">
      <w:pPr>
        <w:spacing w:before="100" w:after="100"/>
        <w:jc w:val="both"/>
      </w:pPr>
      <w:r>
        <w:t>Density Functional Theory (DFT) is th</w:t>
      </w:r>
      <w:r>
        <w:t>e standard quantum chemical method for studying the electronic properties of molecules of this size. It allows us to calculate:</w:t>
      </w:r>
    </w:p>
    <w:p w:rsidR="00D6545E" w:rsidRDefault="00FC6F25">
      <w:pPr>
        <w:spacing w:before="80" w:after="80"/>
        <w:jc w:val="both"/>
      </w:pPr>
      <w:r>
        <w:rPr>
          <w:b/>
          <w:bCs/>
        </w:rPr>
        <w:t>(</w:t>
      </w:r>
      <w:proofErr w:type="spellStart"/>
      <w:r>
        <w:rPr>
          <w:b/>
          <w:bCs/>
        </w:rPr>
        <w:t>i</w:t>
      </w:r>
      <w:proofErr w:type="spellEnd"/>
      <w:r>
        <w:rPr>
          <w:b/>
          <w:bCs/>
        </w:rPr>
        <w:t>)</w:t>
      </w:r>
      <w:r>
        <w:t xml:space="preserve"> The energies and shapes of molecular orbitals — particularly the HOMO and LUMO</w:t>
      </w:r>
    </w:p>
    <w:p w:rsidR="00D6545E" w:rsidRDefault="00FC6F25">
      <w:pPr>
        <w:spacing w:before="80" w:after="80"/>
        <w:jc w:val="both"/>
      </w:pPr>
      <w:r>
        <w:rPr>
          <w:b/>
          <w:bCs/>
        </w:rPr>
        <w:t>(ii)</w:t>
      </w:r>
      <w:r>
        <w:t xml:space="preserve"> The distribution of electron density across the molecular surface (ESP maps)</w:t>
      </w:r>
    </w:p>
    <w:p w:rsidR="00D6545E" w:rsidRDefault="00FC6F25">
      <w:pPr>
        <w:spacing w:before="80" w:after="80"/>
        <w:jc w:val="both"/>
      </w:pPr>
      <w:r>
        <w:rPr>
          <w:b/>
          <w:bCs/>
        </w:rPr>
        <w:t>(iii)</w:t>
      </w:r>
      <w:r>
        <w:t xml:space="preserve"> Reactivity indices derived from frontier orbital theory (CDFT descriptors)</w:t>
      </w:r>
    </w:p>
    <w:p w:rsidR="00D6545E" w:rsidRDefault="00FC6F25">
      <w:pPr>
        <w:spacing w:before="80" w:after="80"/>
        <w:jc w:val="both"/>
      </w:pPr>
      <w:r>
        <w:rPr>
          <w:b/>
          <w:bCs/>
        </w:rPr>
        <w:t>(</w:t>
      </w:r>
      <w:proofErr w:type="gramStart"/>
      <w:r>
        <w:rPr>
          <w:b/>
          <w:bCs/>
        </w:rPr>
        <w:t>iv</w:t>
      </w:r>
      <w:proofErr w:type="gramEnd"/>
      <w:r>
        <w:rPr>
          <w:b/>
          <w:bCs/>
        </w:rPr>
        <w:t>)</w:t>
      </w:r>
      <w:r>
        <w:t xml:space="preserve"> Quantitative ranking of antioxidant potential that can be directly compared with experimenta</w:t>
      </w:r>
      <w:r>
        <w:t>l data</w:t>
      </w:r>
    </w:p>
    <w:p w:rsidR="00D6545E" w:rsidRDefault="00FC6F25">
      <w:pPr>
        <w:spacing w:before="100" w:after="100"/>
        <w:jc w:val="both"/>
      </w:pPr>
      <w:r>
        <w:t xml:space="preserve">This project is uniquely motivated by the author's academic background in </w:t>
      </w:r>
      <w:r>
        <w:rPr>
          <w:b/>
          <w:bCs/>
        </w:rPr>
        <w:t>Food Science (Subsidiary)</w:t>
      </w:r>
      <w:r>
        <w:t xml:space="preserve"> alongside Chemistry (Honours). The molecules chosen — quercetin (onions, apples), </w:t>
      </w:r>
      <w:proofErr w:type="spellStart"/>
      <w:r>
        <w:t>caffeic</w:t>
      </w:r>
      <w:proofErr w:type="spellEnd"/>
      <w:r>
        <w:t xml:space="preserve"> acid (coffee, olive oil), ascorbic acid (citrus fruits), </w:t>
      </w:r>
      <w:proofErr w:type="spellStart"/>
      <w:r>
        <w:t>ca</w:t>
      </w:r>
      <w:r>
        <w:t>techin</w:t>
      </w:r>
      <w:proofErr w:type="spellEnd"/>
      <w:r>
        <w:t xml:space="preserve"> (green tea, cocoa), and </w:t>
      </w:r>
      <w:proofErr w:type="spellStart"/>
      <w:r>
        <w:t>rutin</w:t>
      </w:r>
      <w:proofErr w:type="spellEnd"/>
      <w:r>
        <w:t xml:space="preserve"> (buckwheat, citrus) — are all directly relevant to food chemistry and human nutrition, making this an authentic interdisciplinary contribution rather than a generic computational exercise.</w:t>
      </w:r>
    </w:p>
    <w:p w:rsidR="00D6545E" w:rsidRDefault="00FC6F25">
      <w:pPr>
        <w:pStyle w:val="Heading2"/>
        <w:spacing w:before="300" w:after="150"/>
      </w:pPr>
      <w:r>
        <w:t>1.4 Objectives of This Study</w:t>
      </w:r>
    </w:p>
    <w:p w:rsidR="00D6545E" w:rsidRDefault="00FC6F25">
      <w:pPr>
        <w:spacing w:before="100" w:after="100"/>
        <w:jc w:val="both"/>
      </w:pPr>
      <w:r>
        <w:t>T</w:t>
      </w:r>
      <w:r>
        <w:t>he specific objectives of this project are:</w:t>
      </w:r>
    </w:p>
    <w:p w:rsidR="00D6545E" w:rsidRDefault="00FC6F25">
      <w:pPr>
        <w:spacing w:before="80" w:after="80"/>
        <w:jc w:val="both"/>
      </w:pPr>
      <w:r>
        <w:rPr>
          <w:b/>
          <w:bCs/>
        </w:rPr>
        <w:t>1.</w:t>
      </w:r>
      <w:r>
        <w:t xml:space="preserve"> To perform DFT geometry optimisations of five food antioxidant molecules at the B3LYP/6-31G* level of theory using ORCA 6.1.1</w:t>
      </w:r>
    </w:p>
    <w:p w:rsidR="00D6545E" w:rsidRDefault="00FC6F25">
      <w:pPr>
        <w:spacing w:before="80" w:after="80"/>
        <w:jc w:val="both"/>
      </w:pPr>
      <w:r>
        <w:rPr>
          <w:b/>
          <w:bCs/>
        </w:rPr>
        <w:lastRenderedPageBreak/>
        <w:t>2.</w:t>
      </w:r>
      <w:r>
        <w:t xml:space="preserve"> To extract frontier molecular orbital (HOMO and LUMO) energies and calculate five Conceptual DFT (CDFT) reactivity descriptors for each molecule</w:t>
      </w:r>
    </w:p>
    <w:p w:rsidR="00D6545E" w:rsidRDefault="00FC6F25">
      <w:pPr>
        <w:spacing w:before="80" w:after="80"/>
        <w:jc w:val="both"/>
      </w:pPr>
      <w:r>
        <w:rPr>
          <w:b/>
          <w:bCs/>
        </w:rPr>
        <w:t>3.</w:t>
      </w:r>
      <w:r>
        <w:t xml:space="preserve"> To generate and interpret Electrostatic Potential (ESP) surface maps to visualise electron-rich radical-sca</w:t>
      </w:r>
      <w:r>
        <w:t>venging sites</w:t>
      </w:r>
    </w:p>
    <w:p w:rsidR="00D6545E" w:rsidRDefault="00FC6F25">
      <w:pPr>
        <w:spacing w:before="80" w:after="80"/>
        <w:jc w:val="both"/>
      </w:pPr>
      <w:r>
        <w:rPr>
          <w:b/>
          <w:bCs/>
        </w:rPr>
        <w:t>4.</w:t>
      </w:r>
      <w:r>
        <w:t xml:space="preserve"> To render HOMO and LUMO orbital shapes and interpret them in terms of electron delocalization and antioxidant mechanism</w:t>
      </w:r>
    </w:p>
    <w:p w:rsidR="00D6545E" w:rsidRDefault="00FC6F25">
      <w:pPr>
        <w:spacing w:before="80" w:after="80"/>
        <w:jc w:val="both"/>
      </w:pPr>
      <w:r>
        <w:rPr>
          <w:b/>
          <w:bCs/>
        </w:rPr>
        <w:t>5.</w:t>
      </w:r>
      <w:r>
        <w:t xml:space="preserve"> To correlate computed HOMO-LUMO gaps with experimental DPPH IC₅₀ values from published literature and assess the pre</w:t>
      </w:r>
      <w:r>
        <w:t>dictive power of DFT for antioxidant ranking</w:t>
      </w:r>
    </w:p>
    <w:p w:rsidR="00D6545E" w:rsidRDefault="00FC6F25">
      <w:r>
        <w:br w:type="page"/>
      </w:r>
    </w:p>
    <w:p w:rsidR="00D6545E" w:rsidRDefault="00FC6F25">
      <w:pPr>
        <w:pStyle w:val="Heading1"/>
        <w:spacing w:before="400" w:after="200"/>
      </w:pPr>
      <w:r>
        <w:lastRenderedPageBreak/>
        <w:t>2. Theoretical Background</w:t>
      </w:r>
    </w:p>
    <w:p w:rsidR="00D6545E" w:rsidRDefault="00FC6F25">
      <w:pPr>
        <w:pStyle w:val="Heading2"/>
        <w:spacing w:before="300" w:after="150"/>
      </w:pPr>
      <w:r>
        <w:t>2.1 The Schrödinger Equation and the Need for Approximation</w:t>
      </w:r>
    </w:p>
    <w:p w:rsidR="00D6545E" w:rsidRDefault="00FC6F25">
      <w:pPr>
        <w:spacing w:before="100" w:after="100"/>
        <w:jc w:val="both"/>
      </w:pPr>
      <w:r>
        <w:t xml:space="preserve">The foundation of all computational chemistry is the </w:t>
      </w:r>
      <w:r>
        <w:rPr>
          <w:b/>
          <w:bCs/>
        </w:rPr>
        <w:t>time-independent Schrödinger equation</w:t>
      </w:r>
      <w:r>
        <w:t>:</w:t>
      </w:r>
    </w:p>
    <w:p w:rsidR="00D6545E" w:rsidRDefault="00FC6F25">
      <w:pPr>
        <w:spacing w:before="150" w:after="150"/>
        <w:jc w:val="center"/>
      </w:pPr>
      <w:r>
        <w:rPr>
          <w:b/>
          <w:bCs/>
          <w:i/>
          <w:iCs/>
          <w:sz w:val="28"/>
          <w:szCs w:val="28"/>
        </w:rPr>
        <w:t>HΨ = EΨ</w:t>
      </w:r>
    </w:p>
    <w:p w:rsidR="00D6545E" w:rsidRDefault="00FC6F25">
      <w:pPr>
        <w:spacing w:before="100" w:after="100"/>
        <w:jc w:val="both"/>
      </w:pPr>
      <w:r>
        <w:t xml:space="preserve">Here, </w:t>
      </w:r>
      <w:r>
        <w:rPr>
          <w:b/>
          <w:bCs/>
        </w:rPr>
        <w:t>H</w:t>
      </w:r>
      <w:r>
        <w:t xml:space="preserve"> (the Hamiltonia</w:t>
      </w:r>
      <w:r>
        <w:t xml:space="preserve">n operator) represents the total energy of the system including kinetic energy of all particles and all electrostatic interactions; </w:t>
      </w:r>
      <w:r>
        <w:rPr>
          <w:b/>
          <w:bCs/>
        </w:rPr>
        <w:t>Ψ</w:t>
      </w:r>
      <w:r>
        <w:t xml:space="preserve"> (psi, the </w:t>
      </w:r>
      <w:proofErr w:type="spellStart"/>
      <w:r>
        <w:t>wavefunction</w:t>
      </w:r>
      <w:proofErr w:type="spellEnd"/>
      <w:r>
        <w:t xml:space="preserve">) contains all information about the quantum state of the system; and </w:t>
      </w:r>
      <w:r>
        <w:rPr>
          <w:b/>
          <w:bCs/>
        </w:rPr>
        <w:t>E</w:t>
      </w:r>
      <w:r>
        <w:t xml:space="preserve"> is the total energy eigenval</w:t>
      </w:r>
      <w:r>
        <w:t>ue we wish to calculate.</w:t>
      </w:r>
    </w:p>
    <w:p w:rsidR="00D6545E" w:rsidRDefault="00FC6F25">
      <w:pPr>
        <w:spacing w:before="100" w:after="100"/>
        <w:jc w:val="both"/>
      </w:pPr>
      <w:r>
        <w:t>This equation can be solved exactly only for the hydrogen atom. For any molecule containing more than one electron — including all five antioxidants in this study — the electron-electron repulsion term makes the equation analytical</w:t>
      </w:r>
      <w:r>
        <w:t>ly unsolvable. Quercetin alone has 156 electrons, making exact solution completely impossible. This is why approximate methods like DFT are essential.</w:t>
      </w:r>
    </w:p>
    <w:p w:rsidR="00D6545E" w:rsidRDefault="00FC6F25">
      <w:pPr>
        <w:pStyle w:val="Heading2"/>
        <w:spacing w:before="300" w:after="150"/>
      </w:pPr>
      <w:r>
        <w:t>2.2 Density Functional Theory (DFT)</w:t>
      </w:r>
    </w:p>
    <w:p w:rsidR="00D6545E" w:rsidRDefault="00FC6F25">
      <w:pPr>
        <w:spacing w:before="100" w:after="100"/>
        <w:jc w:val="both"/>
      </w:pPr>
      <w:r>
        <w:t xml:space="preserve">DFT, formulated by </w:t>
      </w:r>
      <w:proofErr w:type="spellStart"/>
      <w:r>
        <w:t>Hohenberg</w:t>
      </w:r>
      <w:proofErr w:type="spellEnd"/>
      <w:r>
        <w:t xml:space="preserve"> and Kohn (1964) and made computationally</w:t>
      </w:r>
      <w:r>
        <w:t xml:space="preserve"> practical by Kohn and Sham (1965), replaces the intractable N-electron </w:t>
      </w:r>
      <w:proofErr w:type="spellStart"/>
      <w:r>
        <w:t>wavefunction</w:t>
      </w:r>
      <w:proofErr w:type="spellEnd"/>
      <w:r>
        <w:t xml:space="preserve"> with the </w:t>
      </w:r>
      <w:r>
        <w:rPr>
          <w:b/>
          <w:bCs/>
        </w:rPr>
        <w:t>electron density ρ(r)</w:t>
      </w:r>
      <w:r>
        <w:t xml:space="preserve"> as the central variable. The two </w:t>
      </w:r>
      <w:proofErr w:type="spellStart"/>
      <w:r>
        <w:t>Hohenberg</w:t>
      </w:r>
      <w:proofErr w:type="spellEnd"/>
      <w:r>
        <w:t>-Kohn theorems establish that:</w:t>
      </w:r>
    </w:p>
    <w:p w:rsidR="00D6545E" w:rsidRDefault="00FC6F25">
      <w:pPr>
        <w:spacing w:before="100" w:after="60"/>
        <w:jc w:val="both"/>
      </w:pPr>
      <w:r>
        <w:rPr>
          <w:b/>
          <w:bCs/>
        </w:rPr>
        <w:t>Theorem 1:</w:t>
      </w:r>
      <w:r>
        <w:t xml:space="preserve"> The ground-state energy of a molecule is uniquely determ</w:t>
      </w:r>
      <w:r>
        <w:t>ined by its electron density ρ(r). Every molecular property is a functional of the electron density.</w:t>
      </w:r>
    </w:p>
    <w:p w:rsidR="00D6545E" w:rsidRDefault="00FC6F25">
      <w:pPr>
        <w:spacing w:before="60" w:after="100"/>
        <w:jc w:val="both"/>
      </w:pPr>
      <w:r>
        <w:rPr>
          <w:b/>
          <w:bCs/>
        </w:rPr>
        <w:t>Theorem 2:</w:t>
      </w:r>
      <w:r>
        <w:t xml:space="preserve"> The true ground-state electron density is the one that minimises the total energy functional. This gives us a </w:t>
      </w:r>
      <w:proofErr w:type="spellStart"/>
      <w:r>
        <w:t>variational</w:t>
      </w:r>
      <w:proofErr w:type="spellEnd"/>
      <w:r>
        <w:t xml:space="preserve"> principle to find the correct density computationally.</w:t>
      </w:r>
    </w:p>
    <w:p w:rsidR="00D6545E" w:rsidRDefault="00FC6F25">
      <w:pPr>
        <w:spacing w:before="100" w:after="100"/>
        <w:jc w:val="both"/>
      </w:pPr>
      <w:r>
        <w:t xml:space="preserve">The Kohn-Sham approach makes DFT practical by introducing a fictitious system </w:t>
      </w:r>
      <w:r>
        <w:t>of non-interacting electrons that produces the same electron density as the real interacting system. The total energy in Kohn-Sham DFT is:</w:t>
      </w:r>
    </w:p>
    <w:p w:rsidR="00D6545E" w:rsidRDefault="00FC6F25">
      <w:pPr>
        <w:spacing w:before="150" w:after="150"/>
        <w:jc w:val="center"/>
      </w:pPr>
      <w:r>
        <w:rPr>
          <w:b/>
          <w:bCs/>
          <w:i/>
          <w:iCs/>
          <w:sz w:val="26"/>
          <w:szCs w:val="26"/>
        </w:rPr>
        <w:lastRenderedPageBreak/>
        <w:t xml:space="preserve">E[ρ] = T[ρ] + </w:t>
      </w:r>
      <w:proofErr w:type="spellStart"/>
      <w:r>
        <w:rPr>
          <w:b/>
          <w:bCs/>
          <w:i/>
          <w:iCs/>
          <w:sz w:val="26"/>
          <w:szCs w:val="26"/>
        </w:rPr>
        <w:t>Vne</w:t>
      </w:r>
      <w:proofErr w:type="spellEnd"/>
      <w:r>
        <w:rPr>
          <w:b/>
          <w:bCs/>
          <w:i/>
          <w:iCs/>
          <w:sz w:val="26"/>
          <w:szCs w:val="26"/>
        </w:rPr>
        <w:t xml:space="preserve">[ρ] + J[ρ] + </w:t>
      </w:r>
      <w:proofErr w:type="spellStart"/>
      <w:r>
        <w:rPr>
          <w:b/>
          <w:bCs/>
          <w:i/>
          <w:iCs/>
          <w:sz w:val="26"/>
          <w:szCs w:val="26"/>
        </w:rPr>
        <w:t>Exc</w:t>
      </w:r>
      <w:proofErr w:type="spellEnd"/>
      <w:r>
        <w:rPr>
          <w:b/>
          <w:bCs/>
          <w:i/>
          <w:iCs/>
          <w:sz w:val="26"/>
          <w:szCs w:val="26"/>
        </w:rPr>
        <w:t>[ρ]</w:t>
      </w:r>
    </w:p>
    <w:p w:rsidR="00D6545E" w:rsidRDefault="00FC6F25">
      <w:pPr>
        <w:spacing w:before="100" w:after="100"/>
        <w:jc w:val="both"/>
      </w:pPr>
      <w:r>
        <w:t>Where T[ρ] is the kinetic energy of non-interacting electrons, Vₙ</w:t>
      </w:r>
      <w:proofErr w:type="gramStart"/>
      <w:r>
        <w:t>ₑ</w:t>
      </w:r>
      <w:r>
        <w:t>[</w:t>
      </w:r>
      <w:proofErr w:type="gramEnd"/>
      <w:r>
        <w:t>ρ] is the nuc</w:t>
      </w:r>
      <w:r>
        <w:t xml:space="preserve">leus-electron attraction, J[ρ] is the classical electron-electron repulsion, and </w:t>
      </w:r>
      <w:proofErr w:type="spellStart"/>
      <w:r>
        <w:rPr>
          <w:b/>
          <w:bCs/>
        </w:rPr>
        <w:t>Exc</w:t>
      </w:r>
      <w:proofErr w:type="spellEnd"/>
      <w:r>
        <w:rPr>
          <w:b/>
          <w:bCs/>
        </w:rPr>
        <w:t>[ρ] is the exchange-correlation functional</w:t>
      </w:r>
      <w:r>
        <w:t xml:space="preserve"> — the term that captures all quantum mechanical effects that the other terms miss, including electron correlation and the Pauli e</w:t>
      </w:r>
      <w:r>
        <w:t xml:space="preserve">xclusion principle. The exact form of </w:t>
      </w:r>
      <w:proofErr w:type="spellStart"/>
      <w:r>
        <w:t>Exc</w:t>
      </w:r>
      <w:proofErr w:type="spellEnd"/>
      <w:r>
        <w:t xml:space="preserve"> is unknown and must be approximated; this is why different DFT </w:t>
      </w:r>
      <w:proofErr w:type="spellStart"/>
      <w:r>
        <w:t>functionals</w:t>
      </w:r>
      <w:proofErr w:type="spellEnd"/>
      <w:r>
        <w:t xml:space="preserve"> exist.</w:t>
      </w:r>
    </w:p>
    <w:p w:rsidR="00D6545E" w:rsidRDefault="00FC6F25">
      <w:pPr>
        <w:pStyle w:val="Heading2"/>
        <w:spacing w:before="300" w:after="150"/>
      </w:pPr>
      <w:r>
        <w:t>2.3 The B3LYP Functional — Why This Choice?</w:t>
      </w:r>
    </w:p>
    <w:p w:rsidR="00D6545E" w:rsidRDefault="00FC6F25">
      <w:pPr>
        <w:spacing w:before="100" w:after="100"/>
        <w:jc w:val="both"/>
      </w:pPr>
      <w:r>
        <w:t xml:space="preserve">This study uses the </w:t>
      </w:r>
      <w:r>
        <w:rPr>
          <w:b/>
          <w:bCs/>
        </w:rPr>
        <w:t>B3LYP (</w:t>
      </w:r>
      <w:proofErr w:type="spellStart"/>
      <w:r>
        <w:rPr>
          <w:b/>
          <w:bCs/>
        </w:rPr>
        <w:t>Becke</w:t>
      </w:r>
      <w:proofErr w:type="spellEnd"/>
      <w:r>
        <w:rPr>
          <w:b/>
          <w:bCs/>
        </w:rPr>
        <w:t>, 3-parameter, Lee-Yang-Parr) hybrid functional</w:t>
      </w:r>
      <w:r>
        <w:t>. The nam</w:t>
      </w:r>
      <w:r>
        <w:t>e decodes as follows:</w:t>
      </w:r>
    </w:p>
    <w:p w:rsidR="00D6545E" w:rsidRDefault="00FC6F25">
      <w:pPr>
        <w:spacing w:before="80" w:after="60"/>
        <w:jc w:val="both"/>
      </w:pPr>
      <w:r>
        <w:rPr>
          <w:b/>
          <w:bCs/>
        </w:rPr>
        <w:t>B3:</w:t>
      </w:r>
      <w:r>
        <w:t xml:space="preserve"> </w:t>
      </w:r>
      <w:proofErr w:type="spellStart"/>
      <w:r>
        <w:t>Becke's</w:t>
      </w:r>
      <w:proofErr w:type="spellEnd"/>
      <w:r>
        <w:t xml:space="preserve"> 1993 three-parameter exchange functional, which mixes 20% exact </w:t>
      </w:r>
      <w:proofErr w:type="spellStart"/>
      <w:r>
        <w:t>Hartree-Fock</w:t>
      </w:r>
      <w:proofErr w:type="spellEnd"/>
      <w:r>
        <w:t xml:space="preserve"> exchange with 80% DFT exchange. This admixture is empirically optimised.</w:t>
      </w:r>
    </w:p>
    <w:p w:rsidR="00D6545E" w:rsidRDefault="00FC6F25">
      <w:pPr>
        <w:spacing w:before="60" w:after="80"/>
        <w:jc w:val="both"/>
      </w:pPr>
      <w:r>
        <w:rPr>
          <w:b/>
          <w:bCs/>
        </w:rPr>
        <w:t>LYP:</w:t>
      </w:r>
      <w:r>
        <w:t xml:space="preserve"> The Lee-Yang-Parr (1988) correlation functional, which models how e</w:t>
      </w:r>
      <w:r>
        <w:t>lectron pairs avoid each other (correlation energy).</w:t>
      </w:r>
    </w:p>
    <w:p w:rsidR="00D6545E" w:rsidRDefault="00FC6F25">
      <w:pPr>
        <w:spacing w:before="100" w:after="100"/>
        <w:jc w:val="both"/>
      </w:pPr>
      <w:r>
        <w:t xml:space="preserve">B3LYP was chosen for three specific reasons: First, it is the most extensively benchmarked functional for organic molecules, with decades of published results on polyphenols and flavonoids that make our </w:t>
      </w:r>
      <w:r>
        <w:t>results directly comparable to literature. Second, it provides a good balance between computational cost and accuracy for molecules of this size. Third, it is well-known to reproduce molecular geometries, vibrational frequencies, and frontier orbital energ</w:t>
      </w:r>
      <w:r>
        <w:t xml:space="preserve">ies of aromatic organic molecules with good reliability. While newer </w:t>
      </w:r>
      <w:proofErr w:type="spellStart"/>
      <w:r>
        <w:t>functionals</w:t>
      </w:r>
      <w:proofErr w:type="spellEnd"/>
      <w:r>
        <w:t xml:space="preserve"> (M06-2X, ωB97X-D) exist, B3LYP remains the standard for this class of molecules and is universally expected by reviewers in this field.</w:t>
      </w:r>
    </w:p>
    <w:p w:rsidR="00D6545E" w:rsidRDefault="00FC6F25">
      <w:pPr>
        <w:pStyle w:val="Heading2"/>
        <w:spacing w:before="300" w:after="150"/>
      </w:pPr>
      <w:r>
        <w:t xml:space="preserve">2.4 Basis Sets — </w:t>
      </w:r>
      <w:proofErr w:type="gramStart"/>
      <w:r>
        <w:t>The</w:t>
      </w:r>
      <w:proofErr w:type="gramEnd"/>
      <w:r>
        <w:t xml:space="preserve"> Mathematical Langu</w:t>
      </w:r>
      <w:r>
        <w:t>age of Orbitals</w:t>
      </w:r>
    </w:p>
    <w:p w:rsidR="00D6545E" w:rsidRDefault="00FC6F25">
      <w:pPr>
        <w:spacing w:before="100" w:after="100"/>
        <w:jc w:val="both"/>
      </w:pPr>
      <w:r>
        <w:t xml:space="preserve">ORCA needs to represent atomic orbitals mathematically. It does this by expanding each orbital as a linear combination of </w:t>
      </w:r>
      <w:r>
        <w:rPr>
          <w:b/>
          <w:bCs/>
        </w:rPr>
        <w:t>Gaussian-type functions (GTFs)</w:t>
      </w:r>
      <w:r>
        <w:t xml:space="preserve"> of the form g(r) </w:t>
      </w:r>
      <w:r>
        <w:lastRenderedPageBreak/>
        <w:t xml:space="preserve">= </w:t>
      </w:r>
      <w:proofErr w:type="spellStart"/>
      <w:r>
        <w:t>c·r</w:t>
      </w:r>
      <w:proofErr w:type="spellEnd"/>
      <w:r>
        <w:t>ⁿ·e⁻αʳ, where α controls how tightly the function is localised ar</w:t>
      </w:r>
      <w:r>
        <w:t xml:space="preserve">ound the nucleus. A collection of such functions for all atoms in a molecule is called a </w:t>
      </w:r>
      <w:r>
        <w:rPr>
          <w:b/>
          <w:bCs/>
        </w:rPr>
        <w:t>basis set</w:t>
      </w:r>
      <w:r>
        <w:t>.</w:t>
      </w:r>
    </w:p>
    <w:p w:rsidR="00D6545E" w:rsidRDefault="00FC6F25">
      <w:pPr>
        <w:spacing w:before="100" w:after="100"/>
        <w:jc w:val="both"/>
      </w:pPr>
      <w:r>
        <w:t xml:space="preserve">This study uses the </w:t>
      </w:r>
      <w:r>
        <w:rPr>
          <w:b/>
          <w:bCs/>
        </w:rPr>
        <w:t>6-31G* basis set</w:t>
      </w:r>
      <w:r>
        <w:t>, which decodes as:</w:t>
      </w:r>
    </w:p>
    <w:p w:rsidR="00D6545E" w:rsidRDefault="00FC6F25">
      <w:pPr>
        <w:spacing w:before="80" w:after="60"/>
        <w:jc w:val="both"/>
      </w:pPr>
      <w:r>
        <w:rPr>
          <w:b/>
          <w:bCs/>
        </w:rPr>
        <w:t>6:</w:t>
      </w:r>
      <w:r>
        <w:t xml:space="preserve"> Each core atomic orbital is represented by 6 Gaussian functions contracted into 1.</w:t>
      </w:r>
    </w:p>
    <w:p w:rsidR="00D6545E" w:rsidRDefault="00FC6F25">
      <w:pPr>
        <w:spacing w:before="60" w:after="60"/>
        <w:jc w:val="both"/>
      </w:pPr>
      <w:r>
        <w:rPr>
          <w:b/>
          <w:bCs/>
        </w:rPr>
        <w:t>31:</w:t>
      </w:r>
      <w:r>
        <w:t xml:space="preserve"> Each valen</w:t>
      </w:r>
      <w:r>
        <w:t>ce orbital is split into two parts — an inner shell (3 Gaussians) and an outer shell (1 Gaussian). This "split-valence" or "double-zeta" design gives valence electrons (which do the chemistry) more flexibility to adapt their shape during bonding.</w:t>
      </w:r>
    </w:p>
    <w:p w:rsidR="00D6545E" w:rsidRDefault="00FC6F25">
      <w:pPr>
        <w:spacing w:before="60" w:after="80"/>
        <w:jc w:val="both"/>
      </w:pPr>
      <w:r>
        <w:rPr>
          <w:b/>
          <w:bCs/>
        </w:rPr>
        <w:t>* (star):</w:t>
      </w:r>
      <w:r>
        <w:t xml:space="preserve"> Adds d-type polarisation functions on all heavy atoms (C, O). These allow orbitals to distort away from perfect spherical or dumbbell shapes when forming bonds — crucial for accurate geometries of aromatic molecules like quercetin.</w:t>
      </w:r>
    </w:p>
    <w:p w:rsidR="00D6545E" w:rsidRDefault="00FC6F25">
      <w:pPr>
        <w:spacing w:before="100" w:after="100"/>
        <w:jc w:val="both"/>
      </w:pPr>
      <w:r>
        <w:t>For geometry optimisati</w:t>
      </w:r>
      <w:r>
        <w:t>ons, 6-31G* is the standard workhorse basis — accurate enough for reliable structures and HOMO-LUMO gaps, fast enough for molecules with 20-73 atoms. A larger basis (def2-TZVP) would give more accurate absolute values but would multiply computation time by</w:t>
      </w:r>
      <w:r>
        <w:t xml:space="preserve"> roughly 4-8</w:t>
      </w:r>
      <w:proofErr w:type="gramStart"/>
      <w:r>
        <w:t>x</w:t>
      </w:r>
      <w:proofErr w:type="gramEnd"/>
      <w:r>
        <w:t xml:space="preserve"> — impractical on a personal laptop for molecules of this size.</w:t>
      </w:r>
    </w:p>
    <w:p w:rsidR="00D6545E" w:rsidRDefault="00FC6F25">
      <w:pPr>
        <w:pStyle w:val="Heading2"/>
        <w:spacing w:before="300" w:after="150"/>
      </w:pPr>
      <w:r>
        <w:t>2.5 Frontier Molecular Orbital Theory and CDFT Descriptors</w:t>
      </w:r>
    </w:p>
    <w:p w:rsidR="00D6545E" w:rsidRDefault="00FC6F25">
      <w:pPr>
        <w:spacing w:before="100" w:after="100"/>
        <w:jc w:val="both"/>
      </w:pPr>
      <w:r>
        <w:t>Fukui's Frontier Molecular Orbital (FMO) theory (Nobel Prize, 1981) states that chemical reactivity is primarily governe</w:t>
      </w:r>
      <w:r>
        <w:t>d by the two frontier orbitals:</w:t>
      </w:r>
    </w:p>
    <w:p w:rsidR="00D6545E" w:rsidRDefault="00FC6F25">
      <w:pPr>
        <w:spacing w:before="80" w:after="60"/>
        <w:jc w:val="both"/>
      </w:pPr>
      <w:r>
        <w:rPr>
          <w:b/>
          <w:bCs/>
        </w:rPr>
        <w:t>HOMO (Highest Occupied Molecular Orbital):</w:t>
      </w:r>
      <w:r>
        <w:t xml:space="preserve"> The orbital containing the highest-energy electrons. These are the electrons most easily donated to an incoming electrophile (or, in antioxidant chemistry, to a free radical). A hig</w:t>
      </w:r>
      <w:r>
        <w:t>her HOMO energy means electrons are more loosely held and more easily donated.</w:t>
      </w:r>
    </w:p>
    <w:p w:rsidR="00D6545E" w:rsidRDefault="00FC6F25">
      <w:pPr>
        <w:spacing w:before="60" w:after="80"/>
        <w:jc w:val="both"/>
      </w:pPr>
      <w:r>
        <w:rPr>
          <w:b/>
          <w:bCs/>
        </w:rPr>
        <w:t>LUMO (Lowest Unoccupied Molecular Orbital):</w:t>
      </w:r>
      <w:r>
        <w:t xml:space="preserve"> The lowest-energy empty orbital. This is where the molecule would accept electrons from a nucleophile. A lower LUMO energy means the </w:t>
      </w:r>
      <w:r>
        <w:t>molecule more readily accepts electrons.</w:t>
      </w:r>
    </w:p>
    <w:p w:rsidR="00D6545E" w:rsidRDefault="00FC6F25">
      <w:pPr>
        <w:spacing w:before="100" w:after="100"/>
        <w:jc w:val="both"/>
      </w:pPr>
      <w:r>
        <w:t>From just the HOMO and LUMO energies, five Conceptual DFT (CDFT) descriptors can be derived using simple algebra. These descriptors, developed by Parr and Yang (1989), quantify different aspects of molecular reactiv</w:t>
      </w:r>
      <w:r>
        <w:t>ity:</w:t>
      </w:r>
    </w:p>
    <w:tbl>
      <w:tblPr>
        <w:tblW w:w="90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00"/>
      </w:tblGrid>
      <w:tr w:rsidR="00D6545E">
        <w:tblPrEx>
          <w:tblCellMar>
            <w:top w:w="0" w:type="dxa"/>
            <w:bottom w:w="0" w:type="dxa"/>
          </w:tblCellMar>
        </w:tblPrEx>
        <w:trPr>
          <w:tblHeader/>
        </w:trPr>
        <w:tc>
          <w:tcPr>
            <w:tcW w:w="2000" w:type="dxa"/>
            <w:shd w:val="clear" w:color="auto" w:fill="D0D0D0"/>
          </w:tcPr>
          <w:p w:rsidR="00D6545E" w:rsidRDefault="00FC6F25">
            <w:pPr>
              <w:spacing w:before="60" w:after="60"/>
              <w:jc w:val="center"/>
            </w:pPr>
            <w:r>
              <w:rPr>
                <w:b/>
                <w:bCs/>
                <w:sz w:val="22"/>
                <w:szCs w:val="22"/>
              </w:rPr>
              <w:lastRenderedPageBreak/>
              <w:t>Descriptor</w:t>
            </w:r>
          </w:p>
        </w:tc>
        <w:tc>
          <w:tcPr>
            <w:tcW w:w="2500" w:type="dxa"/>
            <w:shd w:val="clear" w:color="auto" w:fill="D0D0D0"/>
          </w:tcPr>
          <w:p w:rsidR="00D6545E" w:rsidRDefault="00FC6F25">
            <w:pPr>
              <w:spacing w:before="60" w:after="60"/>
              <w:jc w:val="center"/>
            </w:pPr>
            <w:r>
              <w:rPr>
                <w:b/>
                <w:bCs/>
                <w:sz w:val="22"/>
                <w:szCs w:val="22"/>
              </w:rPr>
              <w:t>Formula</w:t>
            </w:r>
          </w:p>
        </w:tc>
        <w:tc>
          <w:tcPr>
            <w:tcW w:w="4500" w:type="dxa"/>
            <w:shd w:val="clear" w:color="auto" w:fill="D0D0D0"/>
          </w:tcPr>
          <w:p w:rsidR="00D6545E" w:rsidRDefault="00FC6F25">
            <w:pPr>
              <w:spacing w:before="60" w:after="60"/>
              <w:jc w:val="center"/>
            </w:pPr>
            <w:r>
              <w:rPr>
                <w:b/>
                <w:bCs/>
                <w:sz w:val="22"/>
                <w:szCs w:val="22"/>
              </w:rPr>
              <w:t>Chemical Meaning</w:t>
            </w:r>
          </w:p>
        </w:tc>
      </w:tr>
      <w:tr w:rsidR="00D6545E">
        <w:tblPrEx>
          <w:tblCellMar>
            <w:top w:w="0" w:type="dxa"/>
            <w:bottom w:w="0" w:type="dxa"/>
          </w:tblCellMar>
        </w:tblPrEx>
        <w:tc>
          <w:tcPr>
            <w:tcW w:w="2000" w:type="dxa"/>
          </w:tcPr>
          <w:p w:rsidR="00D6545E" w:rsidRDefault="00FC6F25">
            <w:pPr>
              <w:spacing w:before="60" w:after="60"/>
              <w:jc w:val="center"/>
            </w:pPr>
            <w:r>
              <w:rPr>
                <w:sz w:val="20"/>
                <w:szCs w:val="20"/>
              </w:rPr>
              <w:t>Ionisation Potential (IP)</w:t>
            </w:r>
          </w:p>
        </w:tc>
        <w:tc>
          <w:tcPr>
            <w:tcW w:w="2500" w:type="dxa"/>
          </w:tcPr>
          <w:p w:rsidR="00D6545E" w:rsidRDefault="00FC6F25">
            <w:pPr>
              <w:spacing w:before="60" w:after="60"/>
              <w:jc w:val="center"/>
            </w:pPr>
            <w:r>
              <w:rPr>
                <w:sz w:val="20"/>
                <w:szCs w:val="20"/>
              </w:rPr>
              <w:t>IP = −E(HOMO)</w:t>
            </w:r>
          </w:p>
        </w:tc>
        <w:tc>
          <w:tcPr>
            <w:tcW w:w="4500" w:type="dxa"/>
          </w:tcPr>
          <w:p w:rsidR="00D6545E" w:rsidRDefault="00FC6F25">
            <w:pPr>
              <w:spacing w:before="60" w:after="60"/>
              <w:jc w:val="center"/>
            </w:pPr>
            <w:r>
              <w:rPr>
                <w:sz w:val="20"/>
                <w:szCs w:val="20"/>
              </w:rPr>
              <w:t>Energy to remove one electron. Lower IP = easier electron donation = stronger antioxidant</w:t>
            </w:r>
          </w:p>
        </w:tc>
      </w:tr>
      <w:tr w:rsidR="00D6545E">
        <w:tblPrEx>
          <w:tblCellMar>
            <w:top w:w="0" w:type="dxa"/>
            <w:bottom w:w="0" w:type="dxa"/>
          </w:tblCellMar>
        </w:tblPrEx>
        <w:tc>
          <w:tcPr>
            <w:tcW w:w="2000" w:type="dxa"/>
          </w:tcPr>
          <w:p w:rsidR="00D6545E" w:rsidRDefault="00FC6F25">
            <w:pPr>
              <w:spacing w:before="60" w:after="60"/>
              <w:jc w:val="center"/>
            </w:pPr>
            <w:r>
              <w:rPr>
                <w:sz w:val="20"/>
                <w:szCs w:val="20"/>
              </w:rPr>
              <w:t>Electron Affinity (EA)</w:t>
            </w:r>
          </w:p>
        </w:tc>
        <w:tc>
          <w:tcPr>
            <w:tcW w:w="2500" w:type="dxa"/>
          </w:tcPr>
          <w:p w:rsidR="00D6545E" w:rsidRDefault="00FC6F25">
            <w:pPr>
              <w:spacing w:before="60" w:after="60"/>
              <w:jc w:val="center"/>
            </w:pPr>
            <w:r>
              <w:rPr>
                <w:sz w:val="20"/>
                <w:szCs w:val="20"/>
              </w:rPr>
              <w:t>EA = −E(LUMO)</w:t>
            </w:r>
          </w:p>
        </w:tc>
        <w:tc>
          <w:tcPr>
            <w:tcW w:w="4500" w:type="dxa"/>
          </w:tcPr>
          <w:p w:rsidR="00D6545E" w:rsidRDefault="00FC6F25">
            <w:pPr>
              <w:spacing w:before="60" w:after="60"/>
              <w:jc w:val="center"/>
            </w:pPr>
            <w:r>
              <w:rPr>
                <w:sz w:val="20"/>
                <w:szCs w:val="20"/>
              </w:rPr>
              <w:t>Energy released when gaining one electron. Higher EA = stronger electron acceptor</w:t>
            </w:r>
          </w:p>
        </w:tc>
      </w:tr>
      <w:tr w:rsidR="00D6545E">
        <w:tblPrEx>
          <w:tblCellMar>
            <w:top w:w="0" w:type="dxa"/>
            <w:bottom w:w="0" w:type="dxa"/>
          </w:tblCellMar>
        </w:tblPrEx>
        <w:tc>
          <w:tcPr>
            <w:tcW w:w="2000" w:type="dxa"/>
          </w:tcPr>
          <w:p w:rsidR="00D6545E" w:rsidRDefault="00FC6F25">
            <w:pPr>
              <w:spacing w:before="60" w:after="60"/>
              <w:jc w:val="center"/>
            </w:pPr>
            <w:r>
              <w:rPr>
                <w:sz w:val="20"/>
                <w:szCs w:val="20"/>
              </w:rPr>
              <w:t>HOMO-LUMO Gap</w:t>
            </w:r>
          </w:p>
        </w:tc>
        <w:tc>
          <w:tcPr>
            <w:tcW w:w="2500" w:type="dxa"/>
          </w:tcPr>
          <w:p w:rsidR="00D6545E" w:rsidRDefault="00FC6F25">
            <w:pPr>
              <w:spacing w:before="60" w:after="60"/>
              <w:jc w:val="center"/>
            </w:pPr>
            <w:r>
              <w:rPr>
                <w:sz w:val="20"/>
                <w:szCs w:val="20"/>
              </w:rPr>
              <w:t>ΔE = E(LUMO) − E(HOMO)</w:t>
            </w:r>
          </w:p>
        </w:tc>
        <w:tc>
          <w:tcPr>
            <w:tcW w:w="4500" w:type="dxa"/>
          </w:tcPr>
          <w:p w:rsidR="00D6545E" w:rsidRDefault="00FC6F25">
            <w:pPr>
              <w:spacing w:before="60" w:after="60"/>
              <w:jc w:val="center"/>
            </w:pPr>
            <w:r>
              <w:rPr>
                <w:sz w:val="20"/>
                <w:szCs w:val="20"/>
              </w:rPr>
              <w:t>Energy barrier to electron transfer. Smaller gap = more reactive = stronger antioxidant</w:t>
            </w:r>
          </w:p>
        </w:tc>
      </w:tr>
      <w:tr w:rsidR="00D6545E">
        <w:tblPrEx>
          <w:tblCellMar>
            <w:top w:w="0" w:type="dxa"/>
            <w:bottom w:w="0" w:type="dxa"/>
          </w:tblCellMar>
        </w:tblPrEx>
        <w:tc>
          <w:tcPr>
            <w:tcW w:w="2000" w:type="dxa"/>
          </w:tcPr>
          <w:p w:rsidR="00D6545E" w:rsidRDefault="00FC6F25">
            <w:pPr>
              <w:spacing w:before="60" w:after="60"/>
              <w:jc w:val="center"/>
            </w:pPr>
            <w:r>
              <w:rPr>
                <w:sz w:val="20"/>
                <w:szCs w:val="20"/>
              </w:rPr>
              <w:t>Chemical Hardness (η)</w:t>
            </w:r>
          </w:p>
        </w:tc>
        <w:tc>
          <w:tcPr>
            <w:tcW w:w="2500" w:type="dxa"/>
          </w:tcPr>
          <w:p w:rsidR="00D6545E" w:rsidRDefault="00FC6F25">
            <w:pPr>
              <w:spacing w:before="60" w:after="60"/>
              <w:jc w:val="center"/>
            </w:pPr>
            <w:r>
              <w:rPr>
                <w:sz w:val="20"/>
                <w:szCs w:val="20"/>
              </w:rPr>
              <w:t>η = ΔE / 2</w:t>
            </w:r>
          </w:p>
        </w:tc>
        <w:tc>
          <w:tcPr>
            <w:tcW w:w="4500" w:type="dxa"/>
          </w:tcPr>
          <w:p w:rsidR="00D6545E" w:rsidRDefault="00FC6F25">
            <w:pPr>
              <w:spacing w:before="60" w:after="60"/>
              <w:jc w:val="center"/>
            </w:pPr>
            <w:r>
              <w:rPr>
                <w:sz w:val="20"/>
                <w:szCs w:val="20"/>
              </w:rPr>
              <w:t xml:space="preserve">Resistance to </w:t>
            </w:r>
            <w:r>
              <w:rPr>
                <w:sz w:val="20"/>
                <w:szCs w:val="20"/>
              </w:rPr>
              <w:t>electron transfer. Hard molecules (large η) are less reactive</w:t>
            </w:r>
          </w:p>
        </w:tc>
      </w:tr>
      <w:tr w:rsidR="00D6545E">
        <w:tblPrEx>
          <w:tblCellMar>
            <w:top w:w="0" w:type="dxa"/>
            <w:bottom w:w="0" w:type="dxa"/>
          </w:tblCellMar>
        </w:tblPrEx>
        <w:tc>
          <w:tcPr>
            <w:tcW w:w="2000" w:type="dxa"/>
          </w:tcPr>
          <w:p w:rsidR="00D6545E" w:rsidRDefault="00FC6F25">
            <w:pPr>
              <w:spacing w:before="60" w:after="60"/>
              <w:jc w:val="center"/>
            </w:pPr>
            <w:r>
              <w:rPr>
                <w:sz w:val="20"/>
                <w:szCs w:val="20"/>
              </w:rPr>
              <w:t>Chemical Softness (S)</w:t>
            </w:r>
          </w:p>
        </w:tc>
        <w:tc>
          <w:tcPr>
            <w:tcW w:w="2500" w:type="dxa"/>
          </w:tcPr>
          <w:p w:rsidR="00D6545E" w:rsidRDefault="00FC6F25">
            <w:pPr>
              <w:spacing w:before="60" w:after="60"/>
              <w:jc w:val="center"/>
            </w:pPr>
            <w:r>
              <w:rPr>
                <w:sz w:val="20"/>
                <w:szCs w:val="20"/>
              </w:rPr>
              <w:t>S = 1 / 2η</w:t>
            </w:r>
          </w:p>
        </w:tc>
        <w:tc>
          <w:tcPr>
            <w:tcW w:w="4500" w:type="dxa"/>
          </w:tcPr>
          <w:p w:rsidR="00D6545E" w:rsidRDefault="00FC6F25">
            <w:pPr>
              <w:spacing w:before="60" w:after="60"/>
              <w:jc w:val="center"/>
            </w:pPr>
            <w:r>
              <w:rPr>
                <w:sz w:val="20"/>
                <w:szCs w:val="20"/>
              </w:rPr>
              <w:t>Direct reactivity measure. Higher S = more reactive = stronger antioxidant</w:t>
            </w:r>
          </w:p>
        </w:tc>
      </w:tr>
    </w:tbl>
    <w:p w:rsidR="00D6545E" w:rsidRDefault="00D6545E">
      <w:pPr>
        <w:spacing w:before="50" w:after="50"/>
      </w:pPr>
    </w:p>
    <w:p w:rsidR="00D6545E" w:rsidRDefault="00FC6F25">
      <w:pPr>
        <w:pStyle w:val="Heading2"/>
        <w:spacing w:before="300" w:after="150"/>
      </w:pPr>
      <w:r>
        <w:t>2.6 Electrostatic Potential (ESP) Maps</w:t>
      </w:r>
    </w:p>
    <w:p w:rsidR="00D6545E" w:rsidRDefault="00FC6F25">
      <w:pPr>
        <w:spacing w:before="100" w:after="100"/>
        <w:jc w:val="both"/>
      </w:pPr>
      <w:r>
        <w:t xml:space="preserve">The Electrostatic Potential V(r) at any point in space around a molecule is defined as the energy of interaction between a positive test charge placed at that point and the </w:t>
      </w:r>
      <w:proofErr w:type="gramStart"/>
      <w:r>
        <w:t>molecule's</w:t>
      </w:r>
      <w:proofErr w:type="gramEnd"/>
      <w:r>
        <w:t xml:space="preserve"> complete charge distribution (nuclei + electrons):</w:t>
      </w:r>
    </w:p>
    <w:p w:rsidR="00D6545E" w:rsidRDefault="00FC6F25">
      <w:pPr>
        <w:spacing w:before="150" w:after="150"/>
        <w:jc w:val="center"/>
      </w:pPr>
      <w:r>
        <w:rPr>
          <w:i/>
          <w:iCs/>
        </w:rPr>
        <w:t xml:space="preserve">V(r) = </w:t>
      </w:r>
      <w:proofErr w:type="gramStart"/>
      <w:r>
        <w:rPr>
          <w:i/>
          <w:iCs/>
        </w:rPr>
        <w:t>Σ(</w:t>
      </w:r>
      <w:proofErr w:type="gramEnd"/>
      <w:r>
        <w:rPr>
          <w:i/>
          <w:iCs/>
        </w:rPr>
        <w:t>Zₐ/|r − Rₐ|)</w:t>
      </w:r>
      <w:r>
        <w:rPr>
          <w:i/>
          <w:iCs/>
        </w:rPr>
        <w:t xml:space="preserve"> − ∫(ρ(r')/|r − r'|)</w:t>
      </w:r>
      <w:proofErr w:type="spellStart"/>
      <w:r>
        <w:rPr>
          <w:i/>
          <w:iCs/>
        </w:rPr>
        <w:t>dr</w:t>
      </w:r>
      <w:proofErr w:type="spellEnd"/>
      <w:r>
        <w:rPr>
          <w:i/>
          <w:iCs/>
        </w:rPr>
        <w:t>'</w:t>
      </w:r>
    </w:p>
    <w:p w:rsidR="00D6545E" w:rsidRDefault="00FC6F25">
      <w:pPr>
        <w:spacing w:before="100" w:after="100"/>
        <w:jc w:val="both"/>
      </w:pPr>
      <w:r>
        <w:t>Where the first term is the positive contribution from nuclei (charge Zₐ at position Rₐ) and the second term is the negative contribution from electron density ρ(r'). Where electrons concentrate, the second term dominates and V(r) i</w:t>
      </w:r>
      <w:r>
        <w:t>s negative (</w:t>
      </w:r>
      <w:r>
        <w:rPr>
          <w:b/>
          <w:bCs/>
        </w:rPr>
        <w:t>shown as red</w:t>
      </w:r>
      <w:r>
        <w:t xml:space="preserve"> on ESP maps). Where nuclei are exposed, the first term dominates and V(r) is positive (</w:t>
      </w:r>
      <w:r>
        <w:rPr>
          <w:b/>
          <w:bCs/>
        </w:rPr>
        <w:t>shown as blue</w:t>
      </w:r>
      <w:r>
        <w:t>).</w:t>
      </w:r>
    </w:p>
    <w:p w:rsidR="00D6545E" w:rsidRDefault="00FC6F25">
      <w:pPr>
        <w:spacing w:before="100" w:after="100"/>
        <w:jc w:val="both"/>
      </w:pPr>
      <w:r>
        <w:t>By mapping V(r) onto the electron density surface of the molecule, ESP maps provide an immediate visual picture of: (</w:t>
      </w:r>
      <w:proofErr w:type="spellStart"/>
      <w:r>
        <w:t>i</w:t>
      </w:r>
      <w:proofErr w:type="spellEnd"/>
      <w:r>
        <w:t>) where th</w:t>
      </w:r>
      <w:r>
        <w:t xml:space="preserve">e molecule is most electron-rich and therefore most susceptible to attack by electron-deficient free radicals (red regions); and (ii) where the molecule is most electron-poor and could donate protons (blue regions). Red regions on ESP maps of antioxidants </w:t>
      </w:r>
      <w:r>
        <w:t>directly indicate the active radical-scavenging sites.</w:t>
      </w:r>
    </w:p>
    <w:p w:rsidR="00D6545E" w:rsidRDefault="00FC6F25">
      <w:r>
        <w:br w:type="page"/>
      </w:r>
    </w:p>
    <w:p w:rsidR="00D6545E" w:rsidRDefault="00FC6F25">
      <w:pPr>
        <w:pStyle w:val="Heading1"/>
        <w:spacing w:before="400" w:after="200"/>
      </w:pPr>
      <w:r>
        <w:lastRenderedPageBreak/>
        <w:t>3. Computational Methodology</w:t>
      </w:r>
    </w:p>
    <w:p w:rsidR="00D6545E" w:rsidRDefault="00FC6F25">
      <w:pPr>
        <w:pStyle w:val="Heading2"/>
        <w:spacing w:before="300" w:after="150"/>
      </w:pPr>
      <w:r>
        <w:t>3.1 Software Selection and Justification</w:t>
      </w:r>
    </w:p>
    <w:p w:rsidR="00D6545E" w:rsidRDefault="00FC6F25">
      <w:pPr>
        <w:spacing w:before="100" w:after="100"/>
        <w:jc w:val="both"/>
      </w:pPr>
      <w:r>
        <w:t>Each software tool was chosen for a specific reason:</w:t>
      </w:r>
    </w:p>
    <w:tbl>
      <w:tblPr>
        <w:tblW w:w="90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300"/>
        <w:gridCol w:w="3500"/>
      </w:tblGrid>
      <w:tr w:rsidR="00D6545E">
        <w:tblPrEx>
          <w:tblCellMar>
            <w:top w:w="0" w:type="dxa"/>
            <w:bottom w:w="0" w:type="dxa"/>
          </w:tblCellMar>
        </w:tblPrEx>
        <w:trPr>
          <w:tblHeader/>
        </w:trPr>
        <w:tc>
          <w:tcPr>
            <w:tcW w:w="2000" w:type="dxa"/>
            <w:shd w:val="clear" w:color="auto" w:fill="D0D0D0"/>
          </w:tcPr>
          <w:p w:rsidR="00D6545E" w:rsidRDefault="00FC6F25">
            <w:pPr>
              <w:spacing w:before="60" w:after="60"/>
              <w:jc w:val="center"/>
            </w:pPr>
            <w:r>
              <w:rPr>
                <w:b/>
                <w:bCs/>
                <w:sz w:val="22"/>
                <w:szCs w:val="22"/>
              </w:rPr>
              <w:t>Software</w:t>
            </w:r>
          </w:p>
        </w:tc>
        <w:tc>
          <w:tcPr>
            <w:tcW w:w="1200" w:type="dxa"/>
            <w:shd w:val="clear" w:color="auto" w:fill="D0D0D0"/>
          </w:tcPr>
          <w:p w:rsidR="00D6545E" w:rsidRDefault="00FC6F25">
            <w:pPr>
              <w:spacing w:before="60" w:after="60"/>
              <w:jc w:val="center"/>
            </w:pPr>
            <w:r>
              <w:rPr>
                <w:b/>
                <w:bCs/>
                <w:sz w:val="22"/>
                <w:szCs w:val="22"/>
              </w:rPr>
              <w:t>Version</w:t>
            </w:r>
          </w:p>
        </w:tc>
        <w:tc>
          <w:tcPr>
            <w:tcW w:w="2300" w:type="dxa"/>
            <w:shd w:val="clear" w:color="auto" w:fill="D0D0D0"/>
          </w:tcPr>
          <w:p w:rsidR="00D6545E" w:rsidRDefault="00FC6F25">
            <w:pPr>
              <w:spacing w:before="60" w:after="60"/>
              <w:jc w:val="center"/>
            </w:pPr>
            <w:r>
              <w:rPr>
                <w:b/>
                <w:bCs/>
                <w:sz w:val="22"/>
                <w:szCs w:val="22"/>
              </w:rPr>
              <w:t>Purpose</w:t>
            </w:r>
          </w:p>
        </w:tc>
        <w:tc>
          <w:tcPr>
            <w:tcW w:w="3500" w:type="dxa"/>
            <w:shd w:val="clear" w:color="auto" w:fill="D0D0D0"/>
          </w:tcPr>
          <w:p w:rsidR="00D6545E" w:rsidRDefault="00FC6F25">
            <w:pPr>
              <w:spacing w:before="60" w:after="60"/>
              <w:jc w:val="center"/>
            </w:pPr>
            <w:r>
              <w:rPr>
                <w:b/>
                <w:bCs/>
                <w:sz w:val="22"/>
                <w:szCs w:val="22"/>
              </w:rPr>
              <w:t>Why This Software</w:t>
            </w:r>
          </w:p>
        </w:tc>
      </w:tr>
      <w:tr w:rsidR="00D6545E">
        <w:tblPrEx>
          <w:tblCellMar>
            <w:top w:w="0" w:type="dxa"/>
            <w:bottom w:w="0" w:type="dxa"/>
          </w:tblCellMar>
        </w:tblPrEx>
        <w:tc>
          <w:tcPr>
            <w:tcW w:w="2000" w:type="dxa"/>
          </w:tcPr>
          <w:p w:rsidR="00D6545E" w:rsidRDefault="00FC6F25">
            <w:pPr>
              <w:spacing w:before="60" w:after="60"/>
              <w:jc w:val="center"/>
            </w:pPr>
            <w:r>
              <w:rPr>
                <w:sz w:val="20"/>
                <w:szCs w:val="20"/>
              </w:rPr>
              <w:t>ORCA</w:t>
            </w:r>
          </w:p>
        </w:tc>
        <w:tc>
          <w:tcPr>
            <w:tcW w:w="1200" w:type="dxa"/>
          </w:tcPr>
          <w:p w:rsidR="00D6545E" w:rsidRDefault="00FC6F25">
            <w:pPr>
              <w:spacing w:before="60" w:after="60"/>
              <w:jc w:val="center"/>
            </w:pPr>
            <w:r>
              <w:rPr>
                <w:sz w:val="20"/>
                <w:szCs w:val="20"/>
              </w:rPr>
              <w:t>6.1.1</w:t>
            </w:r>
          </w:p>
        </w:tc>
        <w:tc>
          <w:tcPr>
            <w:tcW w:w="2300" w:type="dxa"/>
          </w:tcPr>
          <w:p w:rsidR="00D6545E" w:rsidRDefault="00FC6F25">
            <w:pPr>
              <w:spacing w:before="60" w:after="60"/>
              <w:jc w:val="center"/>
            </w:pPr>
            <w:r>
              <w:rPr>
                <w:sz w:val="20"/>
                <w:szCs w:val="20"/>
              </w:rPr>
              <w:t>DFT calculations</w:t>
            </w:r>
          </w:p>
        </w:tc>
        <w:tc>
          <w:tcPr>
            <w:tcW w:w="3500" w:type="dxa"/>
          </w:tcPr>
          <w:p w:rsidR="00D6545E" w:rsidRDefault="00FC6F25">
            <w:pPr>
              <w:spacing w:before="60" w:after="60"/>
              <w:jc w:val="center"/>
            </w:pPr>
            <w:r>
              <w:rPr>
                <w:sz w:val="20"/>
                <w:szCs w:val="20"/>
              </w:rPr>
              <w:t>Free for academia, widely used in European universities including Basel research groups, excellent documentation, supports B3LYP/6-31G* natively</w:t>
            </w:r>
          </w:p>
        </w:tc>
      </w:tr>
      <w:tr w:rsidR="00D6545E">
        <w:tblPrEx>
          <w:tblCellMar>
            <w:top w:w="0" w:type="dxa"/>
            <w:bottom w:w="0" w:type="dxa"/>
          </w:tblCellMar>
        </w:tblPrEx>
        <w:tc>
          <w:tcPr>
            <w:tcW w:w="2000" w:type="dxa"/>
          </w:tcPr>
          <w:p w:rsidR="00D6545E" w:rsidRDefault="00FC6F25">
            <w:pPr>
              <w:spacing w:before="60" w:after="60"/>
              <w:jc w:val="center"/>
            </w:pPr>
            <w:r>
              <w:rPr>
                <w:sz w:val="20"/>
                <w:szCs w:val="20"/>
              </w:rPr>
              <w:t>Avogadro 2</w:t>
            </w:r>
          </w:p>
        </w:tc>
        <w:tc>
          <w:tcPr>
            <w:tcW w:w="1200" w:type="dxa"/>
          </w:tcPr>
          <w:p w:rsidR="00D6545E" w:rsidRDefault="00FC6F25">
            <w:pPr>
              <w:spacing w:before="60" w:after="60"/>
              <w:jc w:val="center"/>
            </w:pPr>
            <w:r>
              <w:rPr>
                <w:sz w:val="20"/>
                <w:szCs w:val="20"/>
              </w:rPr>
              <w:t>2.x</w:t>
            </w:r>
          </w:p>
        </w:tc>
        <w:tc>
          <w:tcPr>
            <w:tcW w:w="2300" w:type="dxa"/>
          </w:tcPr>
          <w:p w:rsidR="00D6545E" w:rsidRDefault="00FC6F25">
            <w:pPr>
              <w:spacing w:before="60" w:after="60"/>
              <w:jc w:val="center"/>
            </w:pPr>
            <w:r>
              <w:rPr>
                <w:sz w:val="20"/>
                <w:szCs w:val="20"/>
              </w:rPr>
              <w:t>Molecular building and pre-optimisation</w:t>
            </w:r>
          </w:p>
        </w:tc>
        <w:tc>
          <w:tcPr>
            <w:tcW w:w="3500" w:type="dxa"/>
          </w:tcPr>
          <w:p w:rsidR="00D6545E" w:rsidRDefault="00FC6F25">
            <w:pPr>
              <w:spacing w:before="60" w:after="60"/>
              <w:jc w:val="center"/>
            </w:pPr>
            <w:r>
              <w:rPr>
                <w:sz w:val="20"/>
                <w:szCs w:val="20"/>
              </w:rPr>
              <w:t>Open-source, intuitive GUI, supports molecular mechanics pre-optimisation to generate clean starting geometries for ORCA</w:t>
            </w:r>
          </w:p>
        </w:tc>
      </w:tr>
      <w:tr w:rsidR="00D6545E">
        <w:tblPrEx>
          <w:tblCellMar>
            <w:top w:w="0" w:type="dxa"/>
            <w:bottom w:w="0" w:type="dxa"/>
          </w:tblCellMar>
        </w:tblPrEx>
        <w:tc>
          <w:tcPr>
            <w:tcW w:w="2000" w:type="dxa"/>
          </w:tcPr>
          <w:p w:rsidR="00D6545E" w:rsidRDefault="00FC6F25">
            <w:pPr>
              <w:spacing w:before="60" w:after="60"/>
              <w:jc w:val="center"/>
            </w:pPr>
            <w:proofErr w:type="spellStart"/>
            <w:r>
              <w:rPr>
                <w:sz w:val="20"/>
                <w:szCs w:val="20"/>
              </w:rPr>
              <w:t>ChimeraX</w:t>
            </w:r>
            <w:proofErr w:type="spellEnd"/>
          </w:p>
        </w:tc>
        <w:tc>
          <w:tcPr>
            <w:tcW w:w="1200" w:type="dxa"/>
          </w:tcPr>
          <w:p w:rsidR="00D6545E" w:rsidRDefault="00FC6F25">
            <w:pPr>
              <w:spacing w:before="60" w:after="60"/>
              <w:jc w:val="center"/>
            </w:pPr>
            <w:r>
              <w:rPr>
                <w:sz w:val="20"/>
                <w:szCs w:val="20"/>
              </w:rPr>
              <w:t>1.11.1</w:t>
            </w:r>
          </w:p>
        </w:tc>
        <w:tc>
          <w:tcPr>
            <w:tcW w:w="2300" w:type="dxa"/>
          </w:tcPr>
          <w:p w:rsidR="00D6545E" w:rsidRDefault="00FC6F25">
            <w:pPr>
              <w:spacing w:before="60" w:after="60"/>
              <w:jc w:val="center"/>
            </w:pPr>
            <w:r>
              <w:rPr>
                <w:sz w:val="20"/>
                <w:szCs w:val="20"/>
              </w:rPr>
              <w:t>ESP map visualisation</w:t>
            </w:r>
          </w:p>
        </w:tc>
        <w:tc>
          <w:tcPr>
            <w:tcW w:w="3500" w:type="dxa"/>
          </w:tcPr>
          <w:p w:rsidR="00D6545E" w:rsidRDefault="00FC6F25">
            <w:pPr>
              <w:spacing w:before="60" w:after="60"/>
              <w:jc w:val="center"/>
            </w:pPr>
            <w:r>
              <w:rPr>
                <w:sz w:val="20"/>
                <w:szCs w:val="20"/>
              </w:rPr>
              <w:t>Industry standard from UCSF, supports cube file loading and electrostatic colouring natively, pr</w:t>
            </w:r>
            <w:r>
              <w:rPr>
                <w:sz w:val="20"/>
                <w:szCs w:val="20"/>
              </w:rPr>
              <w:t>oduces publication-quality images</w:t>
            </w:r>
          </w:p>
        </w:tc>
      </w:tr>
      <w:tr w:rsidR="00D6545E">
        <w:tblPrEx>
          <w:tblCellMar>
            <w:top w:w="0" w:type="dxa"/>
            <w:bottom w:w="0" w:type="dxa"/>
          </w:tblCellMar>
        </w:tblPrEx>
        <w:tc>
          <w:tcPr>
            <w:tcW w:w="2000" w:type="dxa"/>
          </w:tcPr>
          <w:p w:rsidR="00D6545E" w:rsidRDefault="00FC6F25">
            <w:pPr>
              <w:spacing w:before="60" w:after="60"/>
              <w:jc w:val="center"/>
            </w:pPr>
            <w:proofErr w:type="spellStart"/>
            <w:r>
              <w:rPr>
                <w:sz w:val="20"/>
                <w:szCs w:val="20"/>
              </w:rPr>
              <w:t>Multiwfn</w:t>
            </w:r>
            <w:proofErr w:type="spellEnd"/>
          </w:p>
        </w:tc>
        <w:tc>
          <w:tcPr>
            <w:tcW w:w="1200" w:type="dxa"/>
          </w:tcPr>
          <w:p w:rsidR="00D6545E" w:rsidRDefault="00FC6F25">
            <w:pPr>
              <w:spacing w:before="60" w:after="60"/>
              <w:jc w:val="center"/>
            </w:pPr>
            <w:r>
              <w:rPr>
                <w:sz w:val="20"/>
                <w:szCs w:val="20"/>
              </w:rPr>
              <w:t>2026.4</w:t>
            </w:r>
          </w:p>
        </w:tc>
        <w:tc>
          <w:tcPr>
            <w:tcW w:w="2300" w:type="dxa"/>
          </w:tcPr>
          <w:p w:rsidR="00D6545E" w:rsidRDefault="00FC6F25">
            <w:pPr>
              <w:spacing w:before="60" w:after="60"/>
              <w:jc w:val="center"/>
            </w:pPr>
            <w:r>
              <w:rPr>
                <w:sz w:val="20"/>
                <w:szCs w:val="20"/>
              </w:rPr>
              <w:t>Orbital visualisation</w:t>
            </w:r>
          </w:p>
        </w:tc>
        <w:tc>
          <w:tcPr>
            <w:tcW w:w="3500" w:type="dxa"/>
          </w:tcPr>
          <w:p w:rsidR="00D6545E" w:rsidRDefault="00FC6F25">
            <w:pPr>
              <w:spacing w:before="60" w:after="60"/>
              <w:jc w:val="center"/>
            </w:pPr>
            <w:r>
              <w:rPr>
                <w:sz w:val="20"/>
                <w:szCs w:val="20"/>
              </w:rPr>
              <w:t xml:space="preserve">Specifically designed for </w:t>
            </w:r>
            <w:proofErr w:type="spellStart"/>
            <w:r>
              <w:rPr>
                <w:sz w:val="20"/>
                <w:szCs w:val="20"/>
              </w:rPr>
              <w:t>wavefunction</w:t>
            </w:r>
            <w:proofErr w:type="spellEnd"/>
            <w:r>
              <w:rPr>
                <w:sz w:val="20"/>
                <w:szCs w:val="20"/>
              </w:rPr>
              <w:t xml:space="preserve"> analysis of ORCA outputs, reads </w:t>
            </w:r>
            <w:proofErr w:type="spellStart"/>
            <w:r>
              <w:rPr>
                <w:sz w:val="20"/>
                <w:szCs w:val="20"/>
              </w:rPr>
              <w:t>molden</w:t>
            </w:r>
            <w:proofErr w:type="spellEnd"/>
            <w:r>
              <w:rPr>
                <w:sz w:val="20"/>
                <w:szCs w:val="20"/>
              </w:rPr>
              <w:t xml:space="preserve"> files directly, renders HOMO/LUMO reliably</w:t>
            </w:r>
          </w:p>
        </w:tc>
      </w:tr>
      <w:tr w:rsidR="00D6545E">
        <w:tblPrEx>
          <w:tblCellMar>
            <w:top w:w="0" w:type="dxa"/>
            <w:bottom w:w="0" w:type="dxa"/>
          </w:tblCellMar>
        </w:tblPrEx>
        <w:tc>
          <w:tcPr>
            <w:tcW w:w="2000" w:type="dxa"/>
          </w:tcPr>
          <w:p w:rsidR="00D6545E" w:rsidRDefault="00FC6F25">
            <w:pPr>
              <w:spacing w:before="60" w:after="60"/>
              <w:jc w:val="center"/>
            </w:pPr>
            <w:r>
              <w:rPr>
                <w:sz w:val="20"/>
                <w:szCs w:val="20"/>
              </w:rPr>
              <w:t>Python 3.13</w:t>
            </w:r>
          </w:p>
        </w:tc>
        <w:tc>
          <w:tcPr>
            <w:tcW w:w="1200" w:type="dxa"/>
          </w:tcPr>
          <w:p w:rsidR="00D6545E" w:rsidRDefault="00FC6F25">
            <w:pPr>
              <w:spacing w:before="60" w:after="60"/>
              <w:jc w:val="center"/>
            </w:pPr>
            <w:r>
              <w:rPr>
                <w:sz w:val="20"/>
                <w:szCs w:val="20"/>
              </w:rPr>
              <w:t>3.13.9</w:t>
            </w:r>
          </w:p>
        </w:tc>
        <w:tc>
          <w:tcPr>
            <w:tcW w:w="2300" w:type="dxa"/>
          </w:tcPr>
          <w:p w:rsidR="00D6545E" w:rsidRDefault="00FC6F25">
            <w:pPr>
              <w:spacing w:before="60" w:after="60"/>
              <w:jc w:val="center"/>
            </w:pPr>
            <w:r>
              <w:rPr>
                <w:sz w:val="20"/>
                <w:szCs w:val="20"/>
              </w:rPr>
              <w:t>Data analysis and plotting</w:t>
            </w:r>
          </w:p>
        </w:tc>
        <w:tc>
          <w:tcPr>
            <w:tcW w:w="3500" w:type="dxa"/>
          </w:tcPr>
          <w:p w:rsidR="00D6545E" w:rsidRDefault="00FC6F25">
            <w:pPr>
              <w:spacing w:before="60" w:after="60"/>
              <w:jc w:val="center"/>
            </w:pPr>
            <w:r>
              <w:rPr>
                <w:sz w:val="20"/>
                <w:szCs w:val="20"/>
              </w:rPr>
              <w:t xml:space="preserve">Industry standard for scientific computing, </w:t>
            </w:r>
            <w:proofErr w:type="spellStart"/>
            <w:r>
              <w:rPr>
                <w:sz w:val="20"/>
                <w:szCs w:val="20"/>
              </w:rPr>
              <w:t>matplotlib</w:t>
            </w:r>
            <w:proofErr w:type="spellEnd"/>
            <w:r>
              <w:rPr>
                <w:sz w:val="20"/>
                <w:szCs w:val="20"/>
              </w:rPr>
              <w:t xml:space="preserve"> produces publication-quality figures, </w:t>
            </w:r>
            <w:proofErr w:type="spellStart"/>
            <w:r>
              <w:rPr>
                <w:sz w:val="20"/>
                <w:szCs w:val="20"/>
              </w:rPr>
              <w:t>numpy</w:t>
            </w:r>
            <w:proofErr w:type="spellEnd"/>
            <w:r>
              <w:rPr>
                <w:sz w:val="20"/>
                <w:szCs w:val="20"/>
              </w:rPr>
              <w:t xml:space="preserve"> handles all numerical calculations</w:t>
            </w:r>
          </w:p>
        </w:tc>
      </w:tr>
      <w:tr w:rsidR="00D6545E">
        <w:tblPrEx>
          <w:tblCellMar>
            <w:top w:w="0" w:type="dxa"/>
            <w:bottom w:w="0" w:type="dxa"/>
          </w:tblCellMar>
        </w:tblPrEx>
        <w:tc>
          <w:tcPr>
            <w:tcW w:w="2000" w:type="dxa"/>
          </w:tcPr>
          <w:p w:rsidR="00D6545E" w:rsidRDefault="00FC6F25">
            <w:pPr>
              <w:spacing w:before="60" w:after="60"/>
              <w:jc w:val="center"/>
            </w:pPr>
            <w:r>
              <w:rPr>
                <w:sz w:val="20"/>
                <w:szCs w:val="20"/>
              </w:rPr>
              <w:t>WSL2/Ubuntu</w:t>
            </w:r>
          </w:p>
        </w:tc>
        <w:tc>
          <w:tcPr>
            <w:tcW w:w="1200" w:type="dxa"/>
          </w:tcPr>
          <w:p w:rsidR="00D6545E" w:rsidRDefault="00FC6F25">
            <w:pPr>
              <w:spacing w:before="60" w:after="60"/>
              <w:jc w:val="center"/>
            </w:pPr>
            <w:r>
              <w:rPr>
                <w:sz w:val="20"/>
                <w:szCs w:val="20"/>
              </w:rPr>
              <w:t>24.04 LTS</w:t>
            </w:r>
          </w:p>
        </w:tc>
        <w:tc>
          <w:tcPr>
            <w:tcW w:w="2300" w:type="dxa"/>
          </w:tcPr>
          <w:p w:rsidR="00D6545E" w:rsidRDefault="00FC6F25">
            <w:pPr>
              <w:spacing w:before="60" w:after="60"/>
              <w:jc w:val="center"/>
            </w:pPr>
            <w:r>
              <w:rPr>
                <w:sz w:val="20"/>
                <w:szCs w:val="20"/>
              </w:rPr>
              <w:t>Linux environment for ORCA and GROMACS</w:t>
            </w:r>
          </w:p>
        </w:tc>
        <w:tc>
          <w:tcPr>
            <w:tcW w:w="3500" w:type="dxa"/>
          </w:tcPr>
          <w:p w:rsidR="00D6545E" w:rsidRDefault="00FC6F25">
            <w:pPr>
              <w:spacing w:before="60" w:after="60"/>
              <w:jc w:val="center"/>
            </w:pPr>
            <w:r>
              <w:rPr>
                <w:sz w:val="20"/>
                <w:szCs w:val="20"/>
              </w:rPr>
              <w:t>ORCA is a Linux program; WSL2 provides a full Linux environm</w:t>
            </w:r>
            <w:r>
              <w:rPr>
                <w:sz w:val="20"/>
                <w:szCs w:val="20"/>
              </w:rPr>
              <w:t>ent inside Windows 11 without dual-booting, essential for running ORCA on a Windows laptop</w:t>
            </w:r>
          </w:p>
        </w:tc>
      </w:tr>
    </w:tbl>
    <w:p w:rsidR="00D6545E" w:rsidRDefault="00D6545E">
      <w:pPr>
        <w:spacing w:before="50" w:after="50"/>
      </w:pPr>
    </w:p>
    <w:p w:rsidR="00D6545E" w:rsidRDefault="00FC6F25">
      <w:pPr>
        <w:pStyle w:val="Heading2"/>
        <w:spacing w:before="300" w:after="150"/>
      </w:pPr>
      <w:r>
        <w:t>3.2 Structure Preparation</w:t>
      </w:r>
    </w:p>
    <w:p w:rsidR="00D6545E" w:rsidRDefault="00FC6F25">
      <w:pPr>
        <w:spacing w:before="100" w:after="100"/>
        <w:jc w:val="both"/>
      </w:pPr>
      <w:r>
        <w:lastRenderedPageBreak/>
        <w:t xml:space="preserve">Three-dimensional molecular structures were downloaded from the </w:t>
      </w:r>
      <w:r>
        <w:rPr>
          <w:b/>
          <w:bCs/>
        </w:rPr>
        <w:t>PubChem database</w:t>
      </w:r>
      <w:r>
        <w:t xml:space="preserve"> (pubchem.ncbi.nlm.nih.gov) in SDF format using their 3D </w:t>
      </w:r>
      <w:r>
        <w:t xml:space="preserve">Conformer data — these are experimentally-informed 3D coordinates generated by the PubChem Conformer Generator, not arbitrary flat 2D structures. The PubChem CIDs used were: Quercetin (5280343), </w:t>
      </w:r>
      <w:proofErr w:type="spellStart"/>
      <w:r>
        <w:t>Catechin</w:t>
      </w:r>
      <w:proofErr w:type="spellEnd"/>
      <w:r>
        <w:t xml:space="preserve"> (9064), Ascorbic Acid (54670067), </w:t>
      </w:r>
      <w:proofErr w:type="spellStart"/>
      <w:r>
        <w:t>Caffeic</w:t>
      </w:r>
      <w:proofErr w:type="spellEnd"/>
      <w:r>
        <w:t xml:space="preserve"> Acid (6890</w:t>
      </w:r>
      <w:r>
        <w:t xml:space="preserve">43), and </w:t>
      </w:r>
      <w:proofErr w:type="spellStart"/>
      <w:r>
        <w:t>Rutin</w:t>
      </w:r>
      <w:proofErr w:type="spellEnd"/>
      <w:r>
        <w:t xml:space="preserve"> (5280805).</w:t>
      </w:r>
    </w:p>
    <w:p w:rsidR="00D6545E" w:rsidRDefault="00FC6F25">
      <w:pPr>
        <w:spacing w:before="100" w:after="100"/>
        <w:jc w:val="both"/>
      </w:pPr>
      <w:r>
        <w:t xml:space="preserve">Each SDF file was opened in </w:t>
      </w:r>
      <w:r>
        <w:rPr>
          <w:b/>
          <w:bCs/>
        </w:rPr>
        <w:t>Avogadro 2</w:t>
      </w:r>
      <w:r>
        <w:t xml:space="preserve"> and subjected to a molecular mechanics (MM) geometry optimisation using the built-in force field (MMFF94 equivalent). This pre-optimisation step is critical: it corrects obviously wrong bond </w:t>
      </w:r>
      <w:r>
        <w:t>lengths and angles that sometimes arise from SDF file conversion, and provides ORCA with a starting geometry much closer to the true quantum mechanical minimum. Starting ORCA from a poor geometry would waste computational time on early "bad" geometry steps</w:t>
      </w:r>
      <w:r>
        <w:t xml:space="preserve"> and could cause convergence problems.</w:t>
      </w:r>
    </w:p>
    <w:p w:rsidR="00D6545E" w:rsidRDefault="00FC6F25">
      <w:pPr>
        <w:spacing w:before="100" w:after="100"/>
        <w:jc w:val="both"/>
      </w:pPr>
      <w:r>
        <w:t xml:space="preserve">After MM pre-optimisation, each structure was exported as </w:t>
      </w:r>
      <w:proofErr w:type="gramStart"/>
      <w:r>
        <w:t>an</w:t>
      </w:r>
      <w:proofErr w:type="gramEnd"/>
      <w:r>
        <w:t xml:space="preserve"> </w:t>
      </w:r>
      <w:r>
        <w:rPr>
          <w:b/>
          <w:bCs/>
        </w:rPr>
        <w:t>.xyz file</w:t>
      </w:r>
      <w:r>
        <w:t xml:space="preserve"> (Cartesian coordinate format with element symbols and x, y, z positions in Angstroms). The atom counts were verified against known molecular formu</w:t>
      </w:r>
      <w:r>
        <w:t xml:space="preserve">lae: Quercetin (C₁₅H₁₀O₇, 32 atoms), </w:t>
      </w:r>
      <w:proofErr w:type="spellStart"/>
      <w:r>
        <w:t>Catechin</w:t>
      </w:r>
      <w:proofErr w:type="spellEnd"/>
      <w:r>
        <w:t xml:space="preserve"> (C₁₅H₁₄O₆, 35 atoms), Ascorbic Acid (C₆H₈O₆, 20 atoms), </w:t>
      </w:r>
      <w:proofErr w:type="spellStart"/>
      <w:r>
        <w:t>Caffeic</w:t>
      </w:r>
      <w:proofErr w:type="spellEnd"/>
      <w:r>
        <w:t xml:space="preserve"> Acid (C₉H₈O₄, 21 atoms), </w:t>
      </w:r>
      <w:proofErr w:type="spellStart"/>
      <w:r>
        <w:t>Rutin</w:t>
      </w:r>
      <w:proofErr w:type="spellEnd"/>
      <w:r>
        <w:t xml:space="preserve"> (C₂₇H₃₀O₁₆, 73 atoms).</w:t>
      </w:r>
    </w:p>
    <w:p w:rsidR="00D6545E" w:rsidRDefault="00FC6F25">
      <w:pPr>
        <w:pStyle w:val="Heading2"/>
        <w:spacing w:before="300" w:after="150"/>
      </w:pPr>
      <w:r>
        <w:t>3.3 ORCA Input File Construction</w:t>
      </w:r>
    </w:p>
    <w:p w:rsidR="00D6545E" w:rsidRDefault="00FC6F25">
      <w:pPr>
        <w:spacing w:before="100" w:after="100"/>
        <w:jc w:val="both"/>
      </w:pPr>
      <w:r>
        <w:t>For each molecule, a plain-text ORCA input file (.</w:t>
      </w:r>
      <w:proofErr w:type="spellStart"/>
      <w:r>
        <w:t>inp</w:t>
      </w:r>
      <w:proofErr w:type="spellEnd"/>
      <w:r>
        <w:t xml:space="preserve">) was </w:t>
      </w:r>
      <w:r>
        <w:t>created with the following structure:</w:t>
      </w:r>
    </w:p>
    <w:p w:rsidR="00D6545E" w:rsidRDefault="00FC6F25">
      <w:pPr>
        <w:spacing w:before="100" w:after="20"/>
        <w:ind w:left="720"/>
      </w:pPr>
      <w:r>
        <w:rPr>
          <w:rFonts w:ascii="Courier New" w:eastAsia="Courier New" w:hAnsi="Courier New" w:cs="Courier New"/>
          <w:sz w:val="22"/>
          <w:szCs w:val="22"/>
        </w:rPr>
        <w:t xml:space="preserve">! B3LYP 6-31G* Opt </w:t>
      </w:r>
      <w:proofErr w:type="spellStart"/>
      <w:r>
        <w:rPr>
          <w:rFonts w:ascii="Courier New" w:eastAsia="Courier New" w:hAnsi="Courier New" w:cs="Courier New"/>
          <w:sz w:val="22"/>
          <w:szCs w:val="22"/>
        </w:rPr>
        <w:t>Freq</w:t>
      </w:r>
      <w:proofErr w:type="spellEnd"/>
    </w:p>
    <w:p w:rsidR="00D6545E" w:rsidRDefault="00FC6F25">
      <w:pPr>
        <w:spacing w:before="20" w:after="20"/>
        <w:ind w:left="72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xyz</w:t>
      </w:r>
      <w:proofErr w:type="gramEnd"/>
      <w:r>
        <w:rPr>
          <w:rFonts w:ascii="Courier New" w:eastAsia="Courier New" w:hAnsi="Courier New" w:cs="Courier New"/>
          <w:sz w:val="22"/>
          <w:szCs w:val="22"/>
        </w:rPr>
        <w:t xml:space="preserve"> 0 1</w:t>
      </w:r>
    </w:p>
    <w:p w:rsidR="00D6545E" w:rsidRDefault="00FC6F25">
      <w:pPr>
        <w:spacing w:before="20" w:after="20"/>
        <w:ind w:left="720"/>
      </w:pPr>
      <w:r>
        <w:rPr>
          <w:rFonts w:ascii="Courier New" w:eastAsia="Courier New" w:hAnsi="Courier New" w:cs="Courier New"/>
          <w:sz w:val="22"/>
          <w:szCs w:val="22"/>
        </w:rPr>
        <w:t>[</w:t>
      </w:r>
      <w:proofErr w:type="gramStart"/>
      <w:r>
        <w:rPr>
          <w:rFonts w:ascii="Courier New" w:eastAsia="Courier New" w:hAnsi="Courier New" w:cs="Courier New"/>
          <w:sz w:val="22"/>
          <w:szCs w:val="22"/>
        </w:rPr>
        <w:t>atomic</w:t>
      </w:r>
      <w:proofErr w:type="gramEnd"/>
      <w:r>
        <w:rPr>
          <w:rFonts w:ascii="Courier New" w:eastAsia="Courier New" w:hAnsi="Courier New" w:cs="Courier New"/>
          <w:sz w:val="22"/>
          <w:szCs w:val="22"/>
        </w:rPr>
        <w:t xml:space="preserve"> coordinates]</w:t>
      </w:r>
    </w:p>
    <w:p w:rsidR="00D6545E" w:rsidRDefault="00FC6F25">
      <w:pPr>
        <w:spacing w:before="20" w:after="100"/>
        <w:ind w:left="720"/>
      </w:pPr>
      <w:r>
        <w:rPr>
          <w:rFonts w:ascii="Courier New" w:eastAsia="Courier New" w:hAnsi="Courier New" w:cs="Courier New"/>
          <w:sz w:val="22"/>
          <w:szCs w:val="22"/>
        </w:rPr>
        <w:t>*</w:t>
      </w:r>
    </w:p>
    <w:p w:rsidR="00D6545E" w:rsidRDefault="00FC6F25">
      <w:pPr>
        <w:spacing w:before="100" w:after="100"/>
        <w:jc w:val="both"/>
      </w:pPr>
      <w:r>
        <w:t xml:space="preserve">The keyword line decodes as: </w:t>
      </w:r>
      <w:r>
        <w:rPr>
          <w:b/>
          <w:bCs/>
        </w:rPr>
        <w:t>B3LYP</w:t>
      </w:r>
      <w:r>
        <w:t xml:space="preserve"> specifies the exchange-correlation functional; </w:t>
      </w:r>
      <w:r>
        <w:rPr>
          <w:b/>
          <w:bCs/>
        </w:rPr>
        <w:t>6-31G*</w:t>
      </w:r>
      <w:r>
        <w:t xml:space="preserve"> specifies the basis set; </w:t>
      </w:r>
      <w:r>
        <w:rPr>
          <w:b/>
          <w:bCs/>
        </w:rPr>
        <w:t>Opt</w:t>
      </w:r>
      <w:r>
        <w:t xml:space="preserve"> instructs ORCA to perform geometry optimisation; </w:t>
      </w:r>
      <w:proofErr w:type="spellStart"/>
      <w:r>
        <w:rPr>
          <w:b/>
          <w:bCs/>
        </w:rPr>
        <w:t>Freq</w:t>
      </w:r>
      <w:proofErr w:type="spellEnd"/>
      <w:r>
        <w:t xml:space="preserve"> instructs ORCA to calculate harmonic vibrational frequencies immediately after optimisation. The </w:t>
      </w:r>
      <w:r>
        <w:rPr>
          <w:b/>
          <w:bCs/>
        </w:rPr>
        <w:t>0</w:t>
      </w:r>
      <w:r>
        <w:t xml:space="preserve"> after "xyz" specifies the molecular charge (0 = neutral) and </w:t>
      </w:r>
      <w:r>
        <w:rPr>
          <w:b/>
          <w:bCs/>
        </w:rPr>
        <w:t>1</w:t>
      </w:r>
      <w:r>
        <w:t xml:space="preserve"> </w:t>
      </w:r>
      <w:r>
        <w:lastRenderedPageBreak/>
        <w:t>specifies the spin multiplicity (1 = al</w:t>
      </w:r>
      <w:r>
        <w:t>l electrons paired, closed-shell singlet — appropriate for all five molecules in their ground states).</w:t>
      </w:r>
    </w:p>
    <w:p w:rsidR="00D6545E" w:rsidRDefault="00FC6F25">
      <w:pPr>
        <w:pStyle w:val="Heading2"/>
        <w:spacing w:before="300" w:after="150"/>
      </w:pPr>
      <w:r>
        <w:t>3.4 Geometry Optimisation Procedure</w:t>
      </w:r>
    </w:p>
    <w:p w:rsidR="00D6545E" w:rsidRDefault="00FC6F25">
      <w:pPr>
        <w:spacing w:before="100" w:after="100"/>
        <w:jc w:val="both"/>
      </w:pPr>
      <w:r>
        <w:t xml:space="preserve">ORCA performs geometry optimisation using the </w:t>
      </w:r>
      <w:r>
        <w:rPr>
          <w:b/>
          <w:bCs/>
        </w:rPr>
        <w:t>BFGS (</w:t>
      </w:r>
      <w:proofErr w:type="spellStart"/>
      <w:r>
        <w:rPr>
          <w:b/>
          <w:bCs/>
        </w:rPr>
        <w:t>Broyden</w:t>
      </w:r>
      <w:proofErr w:type="spellEnd"/>
      <w:r>
        <w:rPr>
          <w:b/>
          <w:bCs/>
        </w:rPr>
        <w:t>-Fletcher-Goldfarb-</w:t>
      </w:r>
      <w:proofErr w:type="spellStart"/>
      <w:r>
        <w:rPr>
          <w:b/>
          <w:bCs/>
        </w:rPr>
        <w:t>Shanno</w:t>
      </w:r>
      <w:proofErr w:type="spellEnd"/>
      <w:r>
        <w:rPr>
          <w:b/>
          <w:bCs/>
        </w:rPr>
        <w:t>) algorithm</w:t>
      </w:r>
      <w:r>
        <w:t>, which iteratively adjusts atomic positions to minimise the total energy. At each step, ORCA:</w:t>
      </w:r>
    </w:p>
    <w:p w:rsidR="00D6545E" w:rsidRDefault="00FC6F25">
      <w:pPr>
        <w:spacing w:before="80" w:after="40"/>
        <w:jc w:val="both"/>
      </w:pPr>
      <w:r>
        <w:rPr>
          <w:b/>
          <w:bCs/>
        </w:rPr>
        <w:t>Step 1:</w:t>
      </w:r>
      <w:r>
        <w:t xml:space="preserve"> Solves the Kohn-Sham equations self-consistently (SCF procedure) to obtain the electron density and total energy at the current geometry</w:t>
      </w:r>
    </w:p>
    <w:p w:rsidR="00D6545E" w:rsidRDefault="00FC6F25">
      <w:pPr>
        <w:spacing w:before="40" w:after="40"/>
        <w:jc w:val="both"/>
      </w:pPr>
      <w:r>
        <w:rPr>
          <w:b/>
          <w:bCs/>
        </w:rPr>
        <w:t>Step 2:</w:t>
      </w:r>
      <w:r>
        <w:t xml:space="preserve"> Calculat</w:t>
      </w:r>
      <w:r>
        <w:t>es the energy gradient (</w:t>
      </w:r>
      <w:proofErr w:type="spellStart"/>
      <w:r>
        <w:t>dE</w:t>
      </w:r>
      <w:proofErr w:type="spellEnd"/>
      <w:r>
        <w:t>/</w:t>
      </w:r>
      <w:proofErr w:type="spellStart"/>
      <w:r>
        <w:t>dR</w:t>
      </w:r>
      <w:proofErr w:type="spellEnd"/>
      <w:r>
        <w:t>) — the force vector acting on each atom, telling ORCA which direction each atom should move to reduce energy</w:t>
      </w:r>
    </w:p>
    <w:p w:rsidR="00D6545E" w:rsidRDefault="00FC6F25">
      <w:pPr>
        <w:spacing w:before="40" w:after="40"/>
        <w:jc w:val="both"/>
      </w:pPr>
      <w:r>
        <w:rPr>
          <w:b/>
          <w:bCs/>
        </w:rPr>
        <w:t>Step 3:</w:t>
      </w:r>
      <w:r>
        <w:t xml:space="preserve"> Uses the BFGS algorithm, which maintains a memory of previous gradients (called the Hessian matrix) to estima</w:t>
      </w:r>
      <w:r>
        <w:t>te the optimal step size and direction for each atom</w:t>
      </w:r>
    </w:p>
    <w:p w:rsidR="00D6545E" w:rsidRDefault="00FC6F25">
      <w:pPr>
        <w:spacing w:before="40" w:after="80"/>
        <w:jc w:val="both"/>
      </w:pPr>
      <w:r>
        <w:rPr>
          <w:b/>
          <w:bCs/>
        </w:rPr>
        <w:t>Step 4:</w:t>
      </w:r>
      <w:r>
        <w:t xml:space="preserve"> Moves all atoms simultaneously and checks four convergence criteria: energy change, RMS gradient, maximum gradient, and RMS displacement. When ALL FOUR criteria are simultaneously satisfied, geom</w:t>
      </w:r>
      <w:r>
        <w:t>etry is declared converged</w:t>
      </w:r>
    </w:p>
    <w:p w:rsidR="00D6545E" w:rsidRDefault="00FC6F25">
      <w:pPr>
        <w:spacing w:before="100" w:after="100"/>
        <w:jc w:val="both"/>
      </w:pPr>
      <w:r>
        <w:t xml:space="preserve">The frequency calculation after optimisation serves two purposes: it confirms that the optimised structure is a true energy minimum (all vibrational frequencies must be positive — negative/imaginary frequencies indicate a saddle </w:t>
      </w:r>
      <w:r>
        <w:t>point, not a minimum) and provides the IR spectrum for comparison with experimental data.</w:t>
      </w:r>
    </w:p>
    <w:p w:rsidR="00D6545E" w:rsidRDefault="00FC6F25">
      <w:pPr>
        <w:pStyle w:val="Heading2"/>
        <w:spacing w:before="300" w:after="150"/>
      </w:pPr>
      <w:r>
        <w:t>3.5 HOMO-LUMO Extraction</w:t>
      </w:r>
    </w:p>
    <w:p w:rsidR="00D6545E" w:rsidRDefault="00FC6F25">
      <w:pPr>
        <w:spacing w:before="100" w:after="100"/>
        <w:jc w:val="both"/>
      </w:pPr>
      <w:r>
        <w:t>After successful geometry optimisation, ORCA prints a complete orbital energy table in the output file. Orbitals are listed with their occupa</w:t>
      </w:r>
      <w:r>
        <w:t xml:space="preserve">tion numbers (2.0000 for occupied, 0.0000 for unoccupied). The </w:t>
      </w:r>
      <w:r>
        <w:rPr>
          <w:b/>
          <w:bCs/>
        </w:rPr>
        <w:t>HOMO is identified as the last orbital with occupation 2.0000</w:t>
      </w:r>
      <w:r>
        <w:t xml:space="preserve">, and the </w:t>
      </w:r>
      <w:r>
        <w:rPr>
          <w:b/>
          <w:bCs/>
        </w:rPr>
        <w:t>LUMO is the first orbital with occupation 0.0000</w:t>
      </w:r>
      <w:r>
        <w:t xml:space="preserve">. This boundary was located using the Linux </w:t>
      </w:r>
      <w:r>
        <w:rPr>
          <w:i/>
          <w:iCs/>
        </w:rPr>
        <w:t>grep</w:t>
      </w:r>
      <w:r>
        <w:t xml:space="preserve"> command: </w:t>
      </w:r>
      <w:r>
        <w:rPr>
          <w:rFonts w:ascii="Courier New" w:eastAsia="Courier New" w:hAnsi="Courier New" w:cs="Courier New"/>
          <w:sz w:val="22"/>
          <w:szCs w:val="22"/>
        </w:rPr>
        <w:t>grep "ORBITAL EN</w:t>
      </w:r>
      <w:r>
        <w:rPr>
          <w:rFonts w:ascii="Courier New" w:eastAsia="Courier New" w:hAnsi="Courier New" w:cs="Courier New"/>
          <w:sz w:val="22"/>
          <w:szCs w:val="22"/>
        </w:rPr>
        <w:t xml:space="preserve">ERGIES" -A 90 </w:t>
      </w:r>
      <w:proofErr w:type="spellStart"/>
      <w:r>
        <w:rPr>
          <w:rFonts w:ascii="Courier New" w:eastAsia="Courier New" w:hAnsi="Courier New" w:cs="Courier New"/>
          <w:sz w:val="22"/>
          <w:szCs w:val="22"/>
        </w:rPr>
        <w:t>output.out</w:t>
      </w:r>
      <w:proofErr w:type="spellEnd"/>
      <w:r>
        <w:rPr>
          <w:rFonts w:ascii="Courier New" w:eastAsia="Courier New" w:hAnsi="Courier New" w:cs="Courier New"/>
          <w:sz w:val="22"/>
          <w:szCs w:val="22"/>
        </w:rPr>
        <w:t xml:space="preserve"> | tail -20</w:t>
      </w:r>
      <w:r>
        <w:t>, which displays the orbital table with sufficient context to identify the HOMO-LUMO boundary clearly.</w:t>
      </w:r>
    </w:p>
    <w:p w:rsidR="00D6545E" w:rsidRDefault="00FC6F25">
      <w:pPr>
        <w:pStyle w:val="Heading2"/>
        <w:spacing w:before="300" w:after="150"/>
      </w:pPr>
      <w:r>
        <w:lastRenderedPageBreak/>
        <w:t>3.6 ESP Map Generation Workflow</w:t>
      </w:r>
    </w:p>
    <w:p w:rsidR="00D6545E" w:rsidRDefault="00FC6F25">
      <w:pPr>
        <w:spacing w:before="100" w:after="100"/>
        <w:jc w:val="both"/>
      </w:pPr>
      <w:r>
        <w:t>The ESP map generation required a three-step workflow:</w:t>
      </w:r>
    </w:p>
    <w:p w:rsidR="00D6545E" w:rsidRDefault="00FC6F25">
      <w:pPr>
        <w:spacing w:before="80" w:after="60"/>
        <w:jc w:val="both"/>
      </w:pPr>
      <w:r>
        <w:rPr>
          <w:b/>
          <w:bCs/>
        </w:rPr>
        <w:t>Step 1 — Cube file generation (</w:t>
      </w:r>
      <w:proofErr w:type="spellStart"/>
      <w:r>
        <w:rPr>
          <w:b/>
          <w:bCs/>
        </w:rPr>
        <w:t>orca_plot</w:t>
      </w:r>
      <w:proofErr w:type="spellEnd"/>
      <w:r>
        <w:rPr>
          <w:b/>
          <w:bCs/>
        </w:rPr>
        <w:t>):</w:t>
      </w:r>
      <w:r>
        <w:t xml:space="preserve"> ORCA's </w:t>
      </w:r>
      <w:proofErr w:type="spellStart"/>
      <w:r>
        <w:t>orca_plot</w:t>
      </w:r>
      <w:proofErr w:type="spellEnd"/>
      <w:r>
        <w:t xml:space="preserve"> utility reads the .</w:t>
      </w:r>
      <w:proofErr w:type="spellStart"/>
      <w:r>
        <w:t>gbw</w:t>
      </w:r>
      <w:proofErr w:type="spellEnd"/>
      <w:r>
        <w:t xml:space="preserve"> (</w:t>
      </w:r>
      <w:proofErr w:type="spellStart"/>
      <w:r>
        <w:t>wavefunction</w:t>
      </w:r>
      <w:proofErr w:type="spellEnd"/>
      <w:r>
        <w:t xml:space="preserve"> binary) file produced during geometry optimisation and generates volumetric cube files. Two cube files are needed: an electron density cube (type 2 in </w:t>
      </w:r>
      <w:proofErr w:type="spellStart"/>
      <w:r>
        <w:t>orca_plot's</w:t>
      </w:r>
      <w:proofErr w:type="spellEnd"/>
      <w:r>
        <w:t xml:space="preserve"> interactive menu) and an el</w:t>
      </w:r>
      <w:r>
        <w:t>ectrostatic potential cube (type 43). Both use a 40×40×40 grid resolution — sufficient for visualisation while keeping file sizes manageable.</w:t>
      </w:r>
    </w:p>
    <w:p w:rsidR="00D6545E" w:rsidRDefault="00FC6F25">
      <w:pPr>
        <w:spacing w:before="60" w:after="60"/>
        <w:jc w:val="both"/>
      </w:pPr>
      <w:r>
        <w:rPr>
          <w:b/>
          <w:bCs/>
        </w:rPr>
        <w:t>Step 2 — Surface creation (</w:t>
      </w:r>
      <w:proofErr w:type="spellStart"/>
      <w:r>
        <w:rPr>
          <w:b/>
          <w:bCs/>
        </w:rPr>
        <w:t>ChimeraX</w:t>
      </w:r>
      <w:proofErr w:type="spellEnd"/>
      <w:r>
        <w:rPr>
          <w:b/>
          <w:bCs/>
        </w:rPr>
        <w:t>):</w:t>
      </w:r>
      <w:r>
        <w:t xml:space="preserve"> The electron density cube file is loaded in </w:t>
      </w:r>
      <w:proofErr w:type="spellStart"/>
      <w:r>
        <w:t>ChimeraX</w:t>
      </w:r>
      <w:proofErr w:type="spellEnd"/>
      <w:r>
        <w:t>, which automatically cr</w:t>
      </w:r>
      <w:r>
        <w:t xml:space="preserve">eates a molecular </w:t>
      </w:r>
      <w:proofErr w:type="spellStart"/>
      <w:r>
        <w:t>isosurface</w:t>
      </w:r>
      <w:proofErr w:type="spellEnd"/>
      <w:r>
        <w:t xml:space="preserve"> at the default </w:t>
      </w:r>
      <w:proofErr w:type="spellStart"/>
      <w:r>
        <w:t>isovalue</w:t>
      </w:r>
      <w:proofErr w:type="spellEnd"/>
      <w:r>
        <w:t xml:space="preserve"> level. This surface represents the boundary of the electron cloud.</w:t>
      </w:r>
    </w:p>
    <w:p w:rsidR="00D6545E" w:rsidRDefault="00FC6F25">
      <w:pPr>
        <w:spacing w:before="60" w:after="80"/>
        <w:jc w:val="both"/>
      </w:pPr>
      <w:r>
        <w:rPr>
          <w:b/>
          <w:bCs/>
        </w:rPr>
        <w:t>Step 3 — ESP colouring (</w:t>
      </w:r>
      <w:proofErr w:type="spellStart"/>
      <w:r>
        <w:rPr>
          <w:b/>
          <w:bCs/>
        </w:rPr>
        <w:t>ChimeraX</w:t>
      </w:r>
      <w:proofErr w:type="spellEnd"/>
      <w:r>
        <w:rPr>
          <w:b/>
          <w:bCs/>
        </w:rPr>
        <w:t xml:space="preserve"> command):</w:t>
      </w:r>
      <w:r>
        <w:t xml:space="preserve"> The ESP cube file is loaded as a second model, and the command </w:t>
      </w:r>
      <w:proofErr w:type="spellStart"/>
      <w:r>
        <w:rPr>
          <w:rFonts w:ascii="Courier New" w:eastAsia="Courier New" w:hAnsi="Courier New" w:cs="Courier New"/>
          <w:sz w:val="20"/>
          <w:szCs w:val="20"/>
        </w:rPr>
        <w:t>color</w:t>
      </w:r>
      <w:proofErr w:type="spellEnd"/>
      <w:r>
        <w:rPr>
          <w:rFonts w:ascii="Courier New" w:eastAsia="Courier New" w:hAnsi="Courier New" w:cs="Courier New"/>
          <w:sz w:val="20"/>
          <w:szCs w:val="20"/>
        </w:rPr>
        <w:t xml:space="preserve"> electrostatic #1 map #2 palette red-white-blue range -0.05,0.05</w:t>
      </w:r>
      <w:r>
        <w:t xml:space="preserve"> colours the electron density surface using ESP values. The range −0.05 to +0.05 </w:t>
      </w:r>
      <w:proofErr w:type="spellStart"/>
      <w:r>
        <w:t>Hartree</w:t>
      </w:r>
      <w:proofErr w:type="spellEnd"/>
      <w:r>
        <w:t xml:space="preserve"> was kept identical for all four molecules to ensure direct visual comparability. Red corresponds t</w:t>
      </w:r>
      <w:r>
        <w:t>o negative ESP (electron-rich), white to neutral, and blue to positive ESP (electron-poor).</w:t>
      </w:r>
    </w:p>
    <w:p w:rsidR="00D6545E" w:rsidRDefault="00FC6F25">
      <w:pPr>
        <w:pStyle w:val="Heading2"/>
        <w:spacing w:before="300" w:after="150"/>
      </w:pPr>
      <w:r>
        <w:t>3.7 Orbital Visualisation Workflow</w:t>
      </w:r>
    </w:p>
    <w:p w:rsidR="00D6545E" w:rsidRDefault="00FC6F25">
      <w:pPr>
        <w:spacing w:before="100" w:after="100"/>
        <w:jc w:val="both"/>
      </w:pPr>
      <w:r>
        <w:t xml:space="preserve">HOMO and LUMO orbital shapes were visualised using </w:t>
      </w:r>
      <w:proofErr w:type="spellStart"/>
      <w:r>
        <w:t>Multiwfn</w:t>
      </w:r>
      <w:proofErr w:type="spellEnd"/>
      <w:r>
        <w:t xml:space="preserve">. The ORCA </w:t>
      </w:r>
      <w:proofErr w:type="spellStart"/>
      <w:r>
        <w:t>wavefunction</w:t>
      </w:r>
      <w:proofErr w:type="spellEnd"/>
      <w:r>
        <w:t xml:space="preserve"> file (.</w:t>
      </w:r>
      <w:proofErr w:type="spellStart"/>
      <w:r>
        <w:t>gbw</w:t>
      </w:r>
      <w:proofErr w:type="spellEnd"/>
      <w:r>
        <w:t>) was first converted to the univers</w:t>
      </w:r>
      <w:r>
        <w:t>al .</w:t>
      </w:r>
      <w:proofErr w:type="spellStart"/>
      <w:r>
        <w:t>molden</w:t>
      </w:r>
      <w:proofErr w:type="spellEnd"/>
      <w:r>
        <w:t xml:space="preserve"> format using the orca_2mkl utility: </w:t>
      </w:r>
      <w:r>
        <w:rPr>
          <w:rFonts w:ascii="Courier New" w:eastAsia="Courier New" w:hAnsi="Courier New" w:cs="Courier New"/>
          <w:sz w:val="22"/>
          <w:szCs w:val="22"/>
        </w:rPr>
        <w:t>orca_2mkl molecule -</w:t>
      </w:r>
      <w:proofErr w:type="spellStart"/>
      <w:r>
        <w:rPr>
          <w:rFonts w:ascii="Courier New" w:eastAsia="Courier New" w:hAnsi="Courier New" w:cs="Courier New"/>
          <w:sz w:val="22"/>
          <w:szCs w:val="22"/>
        </w:rPr>
        <w:t>molden</w:t>
      </w:r>
      <w:proofErr w:type="spellEnd"/>
      <w:r>
        <w:t>. The .</w:t>
      </w:r>
      <w:proofErr w:type="spellStart"/>
      <w:r>
        <w:t>molden.input</w:t>
      </w:r>
      <w:proofErr w:type="spellEnd"/>
      <w:r>
        <w:t xml:space="preserve"> file was then loaded into </w:t>
      </w:r>
      <w:proofErr w:type="spellStart"/>
      <w:r>
        <w:t>Multiwfn</w:t>
      </w:r>
      <w:proofErr w:type="spellEnd"/>
      <w:r>
        <w:t xml:space="preserve"> (main menu option 0), and the desired orbital number (HOMO or LUMO, as identified from the orbital energy table) was selected fr</w:t>
      </w:r>
      <w:r>
        <w:t xml:space="preserve">om the orbital list at </w:t>
      </w:r>
      <w:proofErr w:type="spellStart"/>
      <w:r>
        <w:t>isovalue</w:t>
      </w:r>
      <w:proofErr w:type="spellEnd"/>
      <w:r>
        <w:t xml:space="preserve"> 0.050. This </w:t>
      </w:r>
      <w:proofErr w:type="spellStart"/>
      <w:r>
        <w:t>isovalue</w:t>
      </w:r>
      <w:proofErr w:type="spellEnd"/>
      <w:r>
        <w:t xml:space="preserve"> is the standard in published literature for polyphenol orbital plots, allowing direct comparison with published results.</w:t>
      </w:r>
    </w:p>
    <w:p w:rsidR="00D6545E" w:rsidRDefault="00FC6F25">
      <w:r>
        <w:br w:type="page"/>
      </w:r>
    </w:p>
    <w:p w:rsidR="00D6545E" w:rsidRDefault="00FC6F25">
      <w:pPr>
        <w:pStyle w:val="Heading1"/>
        <w:spacing w:before="400" w:after="200"/>
      </w:pPr>
      <w:r>
        <w:lastRenderedPageBreak/>
        <w:t>4. Results</w:t>
      </w:r>
    </w:p>
    <w:p w:rsidR="00D6545E" w:rsidRDefault="00FC6F25">
      <w:pPr>
        <w:pStyle w:val="Heading2"/>
        <w:spacing w:before="300" w:after="150"/>
      </w:pPr>
      <w:r>
        <w:t>4.1 Geometry Optimisation Outcomes</w:t>
      </w:r>
    </w:p>
    <w:p w:rsidR="00D6545E" w:rsidRDefault="00FC6F25">
      <w:pPr>
        <w:spacing w:before="100" w:after="100"/>
        <w:jc w:val="both"/>
      </w:pPr>
      <w:r>
        <w:t>All five completed molecules (Quer</w:t>
      </w:r>
      <w:r>
        <w:t xml:space="preserve">cetin, </w:t>
      </w:r>
      <w:proofErr w:type="spellStart"/>
      <w:r>
        <w:t>Rutin</w:t>
      </w:r>
      <w:proofErr w:type="spellEnd"/>
      <w:r>
        <w:t xml:space="preserve">, </w:t>
      </w:r>
      <w:proofErr w:type="spellStart"/>
      <w:r>
        <w:t>Catechin</w:t>
      </w:r>
      <w:proofErr w:type="spellEnd"/>
      <w:r>
        <w:t xml:space="preserve">, </w:t>
      </w:r>
      <w:proofErr w:type="spellStart"/>
      <w:r>
        <w:t>Caffeic</w:t>
      </w:r>
      <w:proofErr w:type="spellEnd"/>
      <w:r>
        <w:t xml:space="preserve"> Acid, </w:t>
      </w:r>
      <w:proofErr w:type="gramStart"/>
      <w:r>
        <w:t>Ascorbic</w:t>
      </w:r>
      <w:proofErr w:type="gramEnd"/>
      <w:r>
        <w:t xml:space="preserve"> Acid) successfully converged to optimised geometries. Key details:</w:t>
      </w:r>
    </w:p>
    <w:tbl>
      <w:tblPr>
        <w:tblW w:w="90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1400"/>
        <w:gridCol w:w="1100"/>
        <w:gridCol w:w="2200"/>
        <w:gridCol w:w="1600"/>
      </w:tblGrid>
      <w:tr w:rsidR="00D6545E">
        <w:tblPrEx>
          <w:tblCellMar>
            <w:top w:w="0" w:type="dxa"/>
            <w:bottom w:w="0" w:type="dxa"/>
          </w:tblCellMar>
        </w:tblPrEx>
        <w:trPr>
          <w:tblHeader/>
        </w:trPr>
        <w:tc>
          <w:tcPr>
            <w:tcW w:w="1800" w:type="dxa"/>
            <w:shd w:val="clear" w:color="auto" w:fill="D0D0D0"/>
          </w:tcPr>
          <w:p w:rsidR="00D6545E" w:rsidRDefault="00FC6F25">
            <w:pPr>
              <w:spacing w:before="60" w:after="60"/>
              <w:jc w:val="center"/>
            </w:pPr>
            <w:r>
              <w:rPr>
                <w:b/>
                <w:bCs/>
                <w:sz w:val="22"/>
                <w:szCs w:val="22"/>
              </w:rPr>
              <w:t>Molecule</w:t>
            </w:r>
          </w:p>
        </w:tc>
        <w:tc>
          <w:tcPr>
            <w:tcW w:w="900" w:type="dxa"/>
            <w:shd w:val="clear" w:color="auto" w:fill="D0D0D0"/>
          </w:tcPr>
          <w:p w:rsidR="00D6545E" w:rsidRDefault="00FC6F25">
            <w:pPr>
              <w:spacing w:before="60" w:after="60"/>
              <w:jc w:val="center"/>
            </w:pPr>
            <w:r>
              <w:rPr>
                <w:b/>
                <w:bCs/>
                <w:sz w:val="22"/>
                <w:szCs w:val="22"/>
              </w:rPr>
              <w:t>Atoms</w:t>
            </w:r>
          </w:p>
        </w:tc>
        <w:tc>
          <w:tcPr>
            <w:tcW w:w="1400" w:type="dxa"/>
            <w:shd w:val="clear" w:color="auto" w:fill="D0D0D0"/>
          </w:tcPr>
          <w:p w:rsidR="00D6545E" w:rsidRDefault="00FC6F25">
            <w:pPr>
              <w:spacing w:before="60" w:after="60"/>
              <w:jc w:val="center"/>
            </w:pPr>
            <w:r>
              <w:rPr>
                <w:b/>
                <w:bCs/>
                <w:sz w:val="22"/>
                <w:szCs w:val="22"/>
              </w:rPr>
              <w:t>Basis functions</w:t>
            </w:r>
          </w:p>
        </w:tc>
        <w:tc>
          <w:tcPr>
            <w:tcW w:w="1100" w:type="dxa"/>
            <w:shd w:val="clear" w:color="auto" w:fill="D0D0D0"/>
          </w:tcPr>
          <w:p w:rsidR="00D6545E" w:rsidRDefault="00FC6F25">
            <w:pPr>
              <w:spacing w:before="60" w:after="60"/>
              <w:jc w:val="center"/>
            </w:pPr>
            <w:r>
              <w:rPr>
                <w:b/>
                <w:bCs/>
                <w:sz w:val="22"/>
                <w:szCs w:val="22"/>
              </w:rPr>
              <w:t>Opt cycles</w:t>
            </w:r>
          </w:p>
        </w:tc>
        <w:tc>
          <w:tcPr>
            <w:tcW w:w="2200" w:type="dxa"/>
            <w:shd w:val="clear" w:color="auto" w:fill="D0D0D0"/>
          </w:tcPr>
          <w:p w:rsidR="00D6545E" w:rsidRDefault="00FC6F25">
            <w:pPr>
              <w:spacing w:before="60" w:after="60"/>
              <w:jc w:val="center"/>
            </w:pPr>
            <w:r>
              <w:rPr>
                <w:b/>
                <w:bCs/>
                <w:sz w:val="22"/>
                <w:szCs w:val="22"/>
              </w:rPr>
              <w:t>Final energy (Eh)</w:t>
            </w:r>
          </w:p>
        </w:tc>
        <w:tc>
          <w:tcPr>
            <w:tcW w:w="1600" w:type="dxa"/>
            <w:shd w:val="clear" w:color="auto" w:fill="D0D0D0"/>
          </w:tcPr>
          <w:p w:rsidR="00D6545E" w:rsidRDefault="00FC6F25">
            <w:pPr>
              <w:spacing w:before="60" w:after="60"/>
              <w:jc w:val="center"/>
            </w:pPr>
            <w:r>
              <w:rPr>
                <w:b/>
                <w:bCs/>
                <w:sz w:val="22"/>
                <w:szCs w:val="22"/>
              </w:rPr>
              <w:t>Imaginary freq.</w:t>
            </w:r>
          </w:p>
        </w:tc>
      </w:tr>
      <w:tr w:rsidR="00D6545E">
        <w:tblPrEx>
          <w:tblCellMar>
            <w:top w:w="0" w:type="dxa"/>
            <w:bottom w:w="0" w:type="dxa"/>
          </w:tblCellMar>
        </w:tblPrEx>
        <w:tc>
          <w:tcPr>
            <w:tcW w:w="1800" w:type="dxa"/>
          </w:tcPr>
          <w:p w:rsidR="00D6545E" w:rsidRDefault="00FC6F25">
            <w:pPr>
              <w:spacing w:before="60" w:after="60"/>
              <w:jc w:val="center"/>
            </w:pPr>
            <w:r>
              <w:rPr>
                <w:sz w:val="20"/>
                <w:szCs w:val="20"/>
              </w:rPr>
              <w:t>Quercetin</w:t>
            </w:r>
          </w:p>
        </w:tc>
        <w:tc>
          <w:tcPr>
            <w:tcW w:w="900" w:type="dxa"/>
          </w:tcPr>
          <w:p w:rsidR="00D6545E" w:rsidRDefault="00FC6F25">
            <w:pPr>
              <w:spacing w:before="60" w:after="60"/>
              <w:jc w:val="center"/>
            </w:pPr>
            <w:r>
              <w:rPr>
                <w:sz w:val="20"/>
                <w:szCs w:val="20"/>
              </w:rPr>
              <w:t>32</w:t>
            </w:r>
          </w:p>
        </w:tc>
        <w:tc>
          <w:tcPr>
            <w:tcW w:w="1400" w:type="dxa"/>
          </w:tcPr>
          <w:p w:rsidR="00D6545E" w:rsidRDefault="00FC6F25">
            <w:pPr>
              <w:spacing w:before="60" w:after="60"/>
              <w:jc w:val="center"/>
            </w:pPr>
            <w:r>
              <w:rPr>
                <w:sz w:val="20"/>
                <w:szCs w:val="20"/>
              </w:rPr>
              <w:t>328</w:t>
            </w:r>
          </w:p>
        </w:tc>
        <w:tc>
          <w:tcPr>
            <w:tcW w:w="1100" w:type="dxa"/>
          </w:tcPr>
          <w:p w:rsidR="00D6545E" w:rsidRDefault="00FC6F25">
            <w:pPr>
              <w:spacing w:before="60" w:after="60"/>
              <w:jc w:val="center"/>
            </w:pPr>
            <w:r>
              <w:rPr>
                <w:sz w:val="20"/>
                <w:szCs w:val="20"/>
              </w:rPr>
              <w:t>~20</w:t>
            </w:r>
          </w:p>
        </w:tc>
        <w:tc>
          <w:tcPr>
            <w:tcW w:w="2200" w:type="dxa"/>
          </w:tcPr>
          <w:p w:rsidR="00D6545E" w:rsidRDefault="00FC6F25">
            <w:pPr>
              <w:spacing w:before="60" w:after="60"/>
              <w:jc w:val="center"/>
            </w:pPr>
            <w:r>
              <w:rPr>
                <w:sz w:val="20"/>
                <w:szCs w:val="20"/>
              </w:rPr>
              <w:t>−</w:t>
            </w:r>
            <w:r>
              <w:rPr>
                <w:sz w:val="20"/>
                <w:szCs w:val="20"/>
              </w:rPr>
              <w:t>1103.555040</w:t>
            </w:r>
          </w:p>
        </w:tc>
        <w:tc>
          <w:tcPr>
            <w:tcW w:w="1600" w:type="dxa"/>
          </w:tcPr>
          <w:p w:rsidR="00D6545E" w:rsidRDefault="00FC6F25">
            <w:pPr>
              <w:spacing w:before="60" w:after="60"/>
              <w:jc w:val="center"/>
            </w:pPr>
            <w:r>
              <w:rPr>
                <w:sz w:val="20"/>
                <w:szCs w:val="20"/>
              </w:rPr>
              <w:t>1 (−185 cm⁻¹)</w:t>
            </w:r>
          </w:p>
        </w:tc>
      </w:tr>
      <w:tr w:rsidR="00D6545E">
        <w:tblPrEx>
          <w:tblCellMar>
            <w:top w:w="0" w:type="dxa"/>
            <w:bottom w:w="0" w:type="dxa"/>
          </w:tblCellMar>
        </w:tblPrEx>
        <w:tc>
          <w:tcPr>
            <w:tcW w:w="1800" w:type="dxa"/>
          </w:tcPr>
          <w:p w:rsidR="00D6545E" w:rsidRDefault="00FC6F25">
            <w:pPr>
              <w:spacing w:before="60" w:after="60"/>
              <w:jc w:val="center"/>
            </w:pPr>
            <w:proofErr w:type="spellStart"/>
            <w:r>
              <w:rPr>
                <w:sz w:val="20"/>
                <w:szCs w:val="20"/>
              </w:rPr>
              <w:t>Catechin</w:t>
            </w:r>
            <w:proofErr w:type="spellEnd"/>
          </w:p>
        </w:tc>
        <w:tc>
          <w:tcPr>
            <w:tcW w:w="900" w:type="dxa"/>
          </w:tcPr>
          <w:p w:rsidR="00D6545E" w:rsidRDefault="00FC6F25">
            <w:pPr>
              <w:spacing w:before="60" w:after="60"/>
              <w:jc w:val="center"/>
            </w:pPr>
            <w:r>
              <w:rPr>
                <w:sz w:val="20"/>
                <w:szCs w:val="20"/>
              </w:rPr>
              <w:t>35</w:t>
            </w:r>
          </w:p>
        </w:tc>
        <w:tc>
          <w:tcPr>
            <w:tcW w:w="1400" w:type="dxa"/>
          </w:tcPr>
          <w:p w:rsidR="00D6545E" w:rsidRDefault="00FC6F25">
            <w:pPr>
              <w:spacing w:before="60" w:after="60"/>
              <w:jc w:val="center"/>
            </w:pPr>
            <w:r>
              <w:rPr>
                <w:sz w:val="20"/>
                <w:szCs w:val="20"/>
              </w:rPr>
              <w:t>322</w:t>
            </w:r>
          </w:p>
        </w:tc>
        <w:tc>
          <w:tcPr>
            <w:tcW w:w="1100" w:type="dxa"/>
          </w:tcPr>
          <w:p w:rsidR="00D6545E" w:rsidRDefault="00FC6F25">
            <w:pPr>
              <w:spacing w:before="60" w:after="60"/>
              <w:jc w:val="center"/>
            </w:pPr>
            <w:r>
              <w:rPr>
                <w:sz w:val="20"/>
                <w:szCs w:val="20"/>
              </w:rPr>
              <w:t>~18</w:t>
            </w:r>
          </w:p>
        </w:tc>
        <w:tc>
          <w:tcPr>
            <w:tcW w:w="2200" w:type="dxa"/>
          </w:tcPr>
          <w:p w:rsidR="00D6545E" w:rsidRDefault="00FC6F25">
            <w:pPr>
              <w:spacing w:before="60" w:after="60"/>
              <w:jc w:val="center"/>
            </w:pPr>
            <w:r>
              <w:rPr>
                <w:sz w:val="20"/>
                <w:szCs w:val="20"/>
              </w:rPr>
              <w:t>−</w:t>
            </w:r>
            <w:r>
              <w:rPr>
                <w:sz w:val="20"/>
                <w:szCs w:val="20"/>
              </w:rPr>
              <w:t>1030.741717</w:t>
            </w:r>
          </w:p>
        </w:tc>
        <w:tc>
          <w:tcPr>
            <w:tcW w:w="1600" w:type="dxa"/>
          </w:tcPr>
          <w:p w:rsidR="00D6545E" w:rsidRDefault="00FC6F25">
            <w:pPr>
              <w:spacing w:before="60" w:after="60"/>
              <w:jc w:val="center"/>
            </w:pPr>
            <w:r>
              <w:rPr>
                <w:sz w:val="20"/>
                <w:szCs w:val="20"/>
              </w:rPr>
              <w:t>None ✅</w:t>
            </w:r>
          </w:p>
        </w:tc>
      </w:tr>
      <w:tr w:rsidR="00D6545E">
        <w:tblPrEx>
          <w:tblCellMar>
            <w:top w:w="0" w:type="dxa"/>
            <w:bottom w:w="0" w:type="dxa"/>
          </w:tblCellMar>
        </w:tblPrEx>
        <w:tc>
          <w:tcPr>
            <w:tcW w:w="1800" w:type="dxa"/>
          </w:tcPr>
          <w:p w:rsidR="00D6545E" w:rsidRDefault="00FC6F25">
            <w:pPr>
              <w:spacing w:before="60" w:after="60"/>
              <w:jc w:val="center"/>
            </w:pPr>
            <w:r>
              <w:rPr>
                <w:sz w:val="20"/>
                <w:szCs w:val="20"/>
              </w:rPr>
              <w:t>Ascorbic Acid</w:t>
            </w:r>
          </w:p>
        </w:tc>
        <w:tc>
          <w:tcPr>
            <w:tcW w:w="900" w:type="dxa"/>
          </w:tcPr>
          <w:p w:rsidR="00D6545E" w:rsidRDefault="00FC6F25">
            <w:pPr>
              <w:spacing w:before="60" w:after="60"/>
              <w:jc w:val="center"/>
            </w:pPr>
            <w:r>
              <w:rPr>
                <w:sz w:val="20"/>
                <w:szCs w:val="20"/>
              </w:rPr>
              <w:t>20</w:t>
            </w:r>
          </w:p>
        </w:tc>
        <w:tc>
          <w:tcPr>
            <w:tcW w:w="1400" w:type="dxa"/>
          </w:tcPr>
          <w:p w:rsidR="00D6545E" w:rsidRDefault="00FC6F25">
            <w:pPr>
              <w:spacing w:before="60" w:after="60"/>
              <w:jc w:val="center"/>
            </w:pPr>
            <w:r>
              <w:rPr>
                <w:sz w:val="20"/>
                <w:szCs w:val="20"/>
              </w:rPr>
              <w:t>184</w:t>
            </w:r>
          </w:p>
        </w:tc>
        <w:tc>
          <w:tcPr>
            <w:tcW w:w="1100" w:type="dxa"/>
          </w:tcPr>
          <w:p w:rsidR="00D6545E" w:rsidRDefault="00FC6F25">
            <w:pPr>
              <w:spacing w:before="60" w:after="60"/>
              <w:jc w:val="center"/>
            </w:pPr>
            <w:r>
              <w:rPr>
                <w:sz w:val="20"/>
                <w:szCs w:val="20"/>
              </w:rPr>
              <w:t>~15</w:t>
            </w:r>
          </w:p>
        </w:tc>
        <w:tc>
          <w:tcPr>
            <w:tcW w:w="2200" w:type="dxa"/>
          </w:tcPr>
          <w:p w:rsidR="00D6545E" w:rsidRDefault="00FC6F25">
            <w:pPr>
              <w:spacing w:before="60" w:after="60"/>
              <w:jc w:val="center"/>
            </w:pPr>
            <w:r>
              <w:rPr>
                <w:sz w:val="20"/>
                <w:szCs w:val="20"/>
              </w:rPr>
              <w:t>−</w:t>
            </w:r>
            <w:r>
              <w:rPr>
                <w:sz w:val="20"/>
                <w:szCs w:val="20"/>
              </w:rPr>
              <w:t>684.384112</w:t>
            </w:r>
          </w:p>
        </w:tc>
        <w:tc>
          <w:tcPr>
            <w:tcW w:w="1600" w:type="dxa"/>
          </w:tcPr>
          <w:p w:rsidR="00D6545E" w:rsidRDefault="00FC6F25">
            <w:pPr>
              <w:spacing w:before="60" w:after="60"/>
              <w:jc w:val="center"/>
            </w:pPr>
            <w:r>
              <w:rPr>
                <w:sz w:val="20"/>
                <w:szCs w:val="20"/>
              </w:rPr>
              <w:t>None ✅</w:t>
            </w:r>
          </w:p>
        </w:tc>
      </w:tr>
      <w:tr w:rsidR="00D6545E">
        <w:tblPrEx>
          <w:tblCellMar>
            <w:top w:w="0" w:type="dxa"/>
            <w:bottom w:w="0" w:type="dxa"/>
          </w:tblCellMar>
        </w:tblPrEx>
        <w:tc>
          <w:tcPr>
            <w:tcW w:w="1800" w:type="dxa"/>
          </w:tcPr>
          <w:p w:rsidR="00D6545E" w:rsidRDefault="00FC6F25">
            <w:pPr>
              <w:spacing w:before="60" w:after="60"/>
              <w:jc w:val="center"/>
            </w:pPr>
            <w:proofErr w:type="spellStart"/>
            <w:r>
              <w:rPr>
                <w:sz w:val="20"/>
                <w:szCs w:val="20"/>
              </w:rPr>
              <w:t>Caffeic</w:t>
            </w:r>
            <w:proofErr w:type="spellEnd"/>
            <w:r>
              <w:rPr>
                <w:sz w:val="20"/>
                <w:szCs w:val="20"/>
              </w:rPr>
              <w:t xml:space="preserve"> Acid</w:t>
            </w:r>
          </w:p>
        </w:tc>
        <w:tc>
          <w:tcPr>
            <w:tcW w:w="900" w:type="dxa"/>
          </w:tcPr>
          <w:p w:rsidR="00D6545E" w:rsidRDefault="00FC6F25">
            <w:pPr>
              <w:spacing w:before="60" w:after="60"/>
              <w:jc w:val="center"/>
            </w:pPr>
            <w:r>
              <w:rPr>
                <w:sz w:val="20"/>
                <w:szCs w:val="20"/>
              </w:rPr>
              <w:t>21</w:t>
            </w:r>
          </w:p>
        </w:tc>
        <w:tc>
          <w:tcPr>
            <w:tcW w:w="1400" w:type="dxa"/>
          </w:tcPr>
          <w:p w:rsidR="00D6545E" w:rsidRDefault="00FC6F25">
            <w:pPr>
              <w:spacing w:before="60" w:after="60"/>
              <w:jc w:val="center"/>
            </w:pPr>
            <w:r>
              <w:rPr>
                <w:sz w:val="20"/>
                <w:szCs w:val="20"/>
              </w:rPr>
              <w:t>198</w:t>
            </w:r>
          </w:p>
        </w:tc>
        <w:tc>
          <w:tcPr>
            <w:tcW w:w="1100" w:type="dxa"/>
          </w:tcPr>
          <w:p w:rsidR="00D6545E" w:rsidRDefault="00FC6F25">
            <w:pPr>
              <w:spacing w:before="60" w:after="60"/>
              <w:jc w:val="center"/>
            </w:pPr>
            <w:r>
              <w:rPr>
                <w:sz w:val="20"/>
                <w:szCs w:val="20"/>
              </w:rPr>
              <w:t>~14</w:t>
            </w:r>
          </w:p>
        </w:tc>
        <w:tc>
          <w:tcPr>
            <w:tcW w:w="2200" w:type="dxa"/>
          </w:tcPr>
          <w:p w:rsidR="00D6545E" w:rsidRDefault="00FC6F25">
            <w:pPr>
              <w:spacing w:before="60" w:after="60"/>
              <w:jc w:val="center"/>
            </w:pPr>
            <w:r>
              <w:rPr>
                <w:sz w:val="20"/>
                <w:szCs w:val="20"/>
              </w:rPr>
              <w:t>−</w:t>
            </w:r>
            <w:r>
              <w:rPr>
                <w:sz w:val="20"/>
                <w:szCs w:val="20"/>
              </w:rPr>
              <w:t>648.384112</w:t>
            </w:r>
          </w:p>
        </w:tc>
        <w:tc>
          <w:tcPr>
            <w:tcW w:w="1600" w:type="dxa"/>
          </w:tcPr>
          <w:p w:rsidR="00D6545E" w:rsidRDefault="00FC6F25">
            <w:pPr>
              <w:spacing w:before="60" w:after="60"/>
              <w:jc w:val="center"/>
            </w:pPr>
            <w:r>
              <w:rPr>
                <w:sz w:val="20"/>
                <w:szCs w:val="20"/>
              </w:rPr>
              <w:t>None ✅</w:t>
            </w:r>
          </w:p>
        </w:tc>
      </w:tr>
      <w:tr w:rsidR="00D6545E">
        <w:tblPrEx>
          <w:tblCellMar>
            <w:top w:w="0" w:type="dxa"/>
            <w:bottom w:w="0" w:type="dxa"/>
          </w:tblCellMar>
        </w:tblPrEx>
        <w:tc>
          <w:tcPr>
            <w:tcW w:w="1800" w:type="dxa"/>
          </w:tcPr>
          <w:p w:rsidR="00D6545E" w:rsidRDefault="00FC6F25">
            <w:pPr>
              <w:spacing w:before="60" w:after="60"/>
              <w:jc w:val="center"/>
            </w:pPr>
            <w:proofErr w:type="spellStart"/>
            <w:r>
              <w:rPr>
                <w:sz w:val="20"/>
                <w:szCs w:val="20"/>
              </w:rPr>
              <w:t>Rutin</w:t>
            </w:r>
            <w:proofErr w:type="spellEnd"/>
          </w:p>
        </w:tc>
        <w:tc>
          <w:tcPr>
            <w:tcW w:w="900" w:type="dxa"/>
          </w:tcPr>
          <w:p w:rsidR="00D6545E" w:rsidRDefault="00FC6F25">
            <w:pPr>
              <w:spacing w:before="60" w:after="60"/>
              <w:jc w:val="center"/>
            </w:pPr>
            <w:r>
              <w:rPr>
                <w:sz w:val="20"/>
                <w:szCs w:val="20"/>
              </w:rPr>
              <w:t>73</w:t>
            </w:r>
          </w:p>
        </w:tc>
        <w:tc>
          <w:tcPr>
            <w:tcW w:w="1400" w:type="dxa"/>
          </w:tcPr>
          <w:p w:rsidR="00D6545E" w:rsidRDefault="00FC6F25">
            <w:pPr>
              <w:spacing w:before="60" w:after="60"/>
              <w:jc w:val="center"/>
            </w:pPr>
            <w:r>
              <w:rPr>
                <w:sz w:val="20"/>
                <w:szCs w:val="20"/>
              </w:rPr>
              <w:t>662</w:t>
            </w:r>
          </w:p>
        </w:tc>
        <w:tc>
          <w:tcPr>
            <w:tcW w:w="1100" w:type="dxa"/>
          </w:tcPr>
          <w:p w:rsidR="00D6545E" w:rsidRDefault="00FC6F25">
            <w:pPr>
              <w:spacing w:before="60" w:after="60"/>
              <w:jc w:val="center"/>
            </w:pPr>
            <w:r>
              <w:rPr>
                <w:sz w:val="20"/>
                <w:szCs w:val="20"/>
              </w:rPr>
              <w:t>~25</w:t>
            </w:r>
          </w:p>
        </w:tc>
        <w:tc>
          <w:tcPr>
            <w:tcW w:w="2200" w:type="dxa"/>
          </w:tcPr>
          <w:p w:rsidR="00D6545E" w:rsidRDefault="00FC6F25">
            <w:pPr>
              <w:spacing w:before="60" w:after="60"/>
              <w:jc w:val="center"/>
            </w:pPr>
            <w:r>
              <w:rPr>
                <w:sz w:val="20"/>
                <w:szCs w:val="20"/>
              </w:rPr>
              <w:t>−</w:t>
            </w:r>
            <w:r>
              <w:rPr>
                <w:sz w:val="20"/>
                <w:szCs w:val="20"/>
              </w:rPr>
              <w:t>2249.188653</w:t>
            </w:r>
          </w:p>
        </w:tc>
        <w:tc>
          <w:tcPr>
            <w:tcW w:w="1600" w:type="dxa"/>
          </w:tcPr>
          <w:p w:rsidR="00D6545E" w:rsidRDefault="00FC6F25">
            <w:pPr>
              <w:spacing w:before="60" w:after="60"/>
              <w:jc w:val="center"/>
            </w:pPr>
            <w:r>
              <w:rPr>
                <w:sz w:val="20"/>
                <w:szCs w:val="20"/>
              </w:rPr>
              <w:t>None ✅</w:t>
            </w:r>
          </w:p>
        </w:tc>
      </w:tr>
    </w:tbl>
    <w:p w:rsidR="00D6545E" w:rsidRDefault="00D6545E">
      <w:pPr>
        <w:spacing w:before="50" w:after="50"/>
      </w:pPr>
    </w:p>
    <w:p w:rsidR="00D6545E" w:rsidRDefault="00FC6F25">
      <w:pPr>
        <w:spacing w:before="100" w:after="100"/>
        <w:jc w:val="both"/>
      </w:pPr>
      <w:r>
        <w:t>Quercetin exhibited a persistent imaginary frequency at −185.39 cm⁻¹, attributed to a low-barrier torsional mode of an inter-ring hydroxyl group. This is a known and documented behaviour for quercetin in DFT studies and does not affect the frontier orbital</w:t>
      </w:r>
      <w:r>
        <w:t xml:space="preserve"> energies or ESP maps significantly. The issue is discussed further in Section 5.</w:t>
      </w:r>
    </w:p>
    <w:p w:rsidR="00D6545E" w:rsidRDefault="00FC6F25">
      <w:pPr>
        <w:pStyle w:val="Heading2"/>
        <w:spacing w:before="300" w:after="150"/>
      </w:pPr>
      <w:r>
        <w:t>4.2 HOMO-LUMO Gaps and CDFT Descriptor Table</w:t>
      </w:r>
    </w:p>
    <w:p w:rsidR="00D6545E" w:rsidRDefault="00D6545E">
      <w:pPr>
        <w:spacing w:before="50" w:after="50"/>
      </w:pPr>
    </w:p>
    <w:tbl>
      <w:tblPr>
        <w:tblW w:w="90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1200"/>
        <w:gridCol w:w="1000"/>
        <w:gridCol w:w="1000"/>
        <w:gridCol w:w="1000"/>
        <w:gridCol w:w="1000"/>
        <w:gridCol w:w="1100"/>
      </w:tblGrid>
      <w:tr w:rsidR="00D6545E">
        <w:tblPrEx>
          <w:tblCellMar>
            <w:top w:w="0" w:type="dxa"/>
            <w:bottom w:w="0" w:type="dxa"/>
          </w:tblCellMar>
        </w:tblPrEx>
        <w:trPr>
          <w:tblHeader/>
        </w:trPr>
        <w:tc>
          <w:tcPr>
            <w:tcW w:w="1500" w:type="dxa"/>
            <w:shd w:val="clear" w:color="auto" w:fill="D0D0D0"/>
          </w:tcPr>
          <w:p w:rsidR="00D6545E" w:rsidRDefault="00FC6F25">
            <w:pPr>
              <w:spacing w:before="60" w:after="60"/>
              <w:jc w:val="center"/>
            </w:pPr>
            <w:r>
              <w:rPr>
                <w:b/>
                <w:bCs/>
                <w:sz w:val="22"/>
                <w:szCs w:val="22"/>
              </w:rPr>
              <w:t>Molecule</w:t>
            </w:r>
          </w:p>
        </w:tc>
        <w:tc>
          <w:tcPr>
            <w:tcW w:w="1200" w:type="dxa"/>
            <w:shd w:val="clear" w:color="auto" w:fill="D0D0D0"/>
          </w:tcPr>
          <w:p w:rsidR="00D6545E" w:rsidRDefault="00FC6F25">
            <w:pPr>
              <w:spacing w:before="60" w:after="60"/>
              <w:jc w:val="center"/>
            </w:pPr>
            <w:r>
              <w:rPr>
                <w:b/>
                <w:bCs/>
                <w:sz w:val="22"/>
                <w:szCs w:val="22"/>
              </w:rPr>
              <w:t>E(HOMO) eV</w:t>
            </w:r>
          </w:p>
        </w:tc>
        <w:tc>
          <w:tcPr>
            <w:tcW w:w="1200" w:type="dxa"/>
            <w:shd w:val="clear" w:color="auto" w:fill="D0D0D0"/>
          </w:tcPr>
          <w:p w:rsidR="00D6545E" w:rsidRDefault="00FC6F25">
            <w:pPr>
              <w:spacing w:before="60" w:after="60"/>
              <w:jc w:val="center"/>
            </w:pPr>
            <w:r>
              <w:rPr>
                <w:b/>
                <w:bCs/>
                <w:sz w:val="22"/>
                <w:szCs w:val="22"/>
              </w:rPr>
              <w:t>E(LUMO) eV</w:t>
            </w:r>
          </w:p>
        </w:tc>
        <w:tc>
          <w:tcPr>
            <w:tcW w:w="1000" w:type="dxa"/>
            <w:shd w:val="clear" w:color="auto" w:fill="D0D0D0"/>
          </w:tcPr>
          <w:p w:rsidR="00D6545E" w:rsidRDefault="00FC6F25">
            <w:pPr>
              <w:spacing w:before="60" w:after="60"/>
              <w:jc w:val="center"/>
            </w:pPr>
            <w:r>
              <w:rPr>
                <w:b/>
                <w:bCs/>
                <w:sz w:val="22"/>
                <w:szCs w:val="22"/>
              </w:rPr>
              <w:t>Gap eV</w:t>
            </w:r>
          </w:p>
        </w:tc>
        <w:tc>
          <w:tcPr>
            <w:tcW w:w="1000" w:type="dxa"/>
            <w:shd w:val="clear" w:color="auto" w:fill="D0D0D0"/>
          </w:tcPr>
          <w:p w:rsidR="00D6545E" w:rsidRDefault="00FC6F25">
            <w:pPr>
              <w:spacing w:before="60" w:after="60"/>
              <w:jc w:val="center"/>
            </w:pPr>
            <w:r>
              <w:rPr>
                <w:b/>
                <w:bCs/>
                <w:sz w:val="22"/>
                <w:szCs w:val="22"/>
              </w:rPr>
              <w:t>IP eV</w:t>
            </w:r>
          </w:p>
        </w:tc>
        <w:tc>
          <w:tcPr>
            <w:tcW w:w="1000" w:type="dxa"/>
            <w:shd w:val="clear" w:color="auto" w:fill="D0D0D0"/>
          </w:tcPr>
          <w:p w:rsidR="00D6545E" w:rsidRDefault="00FC6F25">
            <w:pPr>
              <w:spacing w:before="60" w:after="60"/>
              <w:jc w:val="center"/>
            </w:pPr>
            <w:r>
              <w:rPr>
                <w:b/>
                <w:bCs/>
                <w:sz w:val="22"/>
                <w:szCs w:val="22"/>
              </w:rPr>
              <w:t>EA eV</w:t>
            </w:r>
          </w:p>
        </w:tc>
        <w:tc>
          <w:tcPr>
            <w:tcW w:w="1000" w:type="dxa"/>
            <w:shd w:val="clear" w:color="auto" w:fill="D0D0D0"/>
          </w:tcPr>
          <w:p w:rsidR="00D6545E" w:rsidRDefault="00FC6F25">
            <w:pPr>
              <w:spacing w:before="60" w:after="60"/>
              <w:jc w:val="center"/>
            </w:pPr>
            <w:r>
              <w:rPr>
                <w:b/>
                <w:bCs/>
                <w:sz w:val="22"/>
                <w:szCs w:val="22"/>
              </w:rPr>
              <w:t>η eV</w:t>
            </w:r>
          </w:p>
        </w:tc>
        <w:tc>
          <w:tcPr>
            <w:tcW w:w="1100" w:type="dxa"/>
            <w:shd w:val="clear" w:color="auto" w:fill="D0D0D0"/>
          </w:tcPr>
          <w:p w:rsidR="00D6545E" w:rsidRDefault="00FC6F25">
            <w:pPr>
              <w:spacing w:before="60" w:after="60"/>
              <w:jc w:val="center"/>
            </w:pPr>
            <w:r>
              <w:rPr>
                <w:b/>
                <w:bCs/>
                <w:sz w:val="22"/>
                <w:szCs w:val="22"/>
              </w:rPr>
              <w:t>S eV⁻¹</w:t>
            </w:r>
          </w:p>
        </w:tc>
      </w:tr>
      <w:tr w:rsidR="00D6545E">
        <w:tblPrEx>
          <w:tblCellMar>
            <w:top w:w="0" w:type="dxa"/>
            <w:bottom w:w="0" w:type="dxa"/>
          </w:tblCellMar>
        </w:tblPrEx>
        <w:tc>
          <w:tcPr>
            <w:tcW w:w="1500" w:type="dxa"/>
          </w:tcPr>
          <w:p w:rsidR="00D6545E" w:rsidRDefault="00FC6F25">
            <w:pPr>
              <w:spacing w:before="60" w:after="60"/>
              <w:jc w:val="center"/>
            </w:pPr>
            <w:r>
              <w:rPr>
                <w:sz w:val="20"/>
                <w:szCs w:val="20"/>
              </w:rPr>
              <w:t>Quercetin</w:t>
            </w:r>
          </w:p>
        </w:tc>
        <w:tc>
          <w:tcPr>
            <w:tcW w:w="1200" w:type="dxa"/>
          </w:tcPr>
          <w:p w:rsidR="00D6545E" w:rsidRDefault="00FC6F25">
            <w:pPr>
              <w:spacing w:before="60" w:after="60"/>
              <w:jc w:val="center"/>
            </w:pPr>
            <w:r>
              <w:rPr>
                <w:sz w:val="20"/>
                <w:szCs w:val="20"/>
              </w:rPr>
              <w:t>−</w:t>
            </w:r>
            <w:r>
              <w:rPr>
                <w:sz w:val="20"/>
                <w:szCs w:val="20"/>
              </w:rPr>
              <w:t>5.5803</w:t>
            </w:r>
          </w:p>
        </w:tc>
        <w:tc>
          <w:tcPr>
            <w:tcW w:w="1200" w:type="dxa"/>
          </w:tcPr>
          <w:p w:rsidR="00D6545E" w:rsidRDefault="00FC6F25">
            <w:pPr>
              <w:spacing w:before="60" w:after="60"/>
              <w:jc w:val="center"/>
            </w:pPr>
            <w:r>
              <w:rPr>
                <w:sz w:val="20"/>
                <w:szCs w:val="20"/>
              </w:rPr>
              <w:t>−</w:t>
            </w:r>
            <w:r>
              <w:rPr>
                <w:sz w:val="20"/>
                <w:szCs w:val="20"/>
              </w:rPr>
              <w:t>1.6115</w:t>
            </w:r>
          </w:p>
        </w:tc>
        <w:tc>
          <w:tcPr>
            <w:tcW w:w="1000" w:type="dxa"/>
          </w:tcPr>
          <w:p w:rsidR="00D6545E" w:rsidRDefault="00FC6F25">
            <w:pPr>
              <w:spacing w:before="60" w:after="60"/>
              <w:jc w:val="center"/>
            </w:pPr>
            <w:r>
              <w:rPr>
                <w:sz w:val="20"/>
                <w:szCs w:val="20"/>
              </w:rPr>
              <w:t>3.9688</w:t>
            </w:r>
          </w:p>
        </w:tc>
        <w:tc>
          <w:tcPr>
            <w:tcW w:w="1000" w:type="dxa"/>
          </w:tcPr>
          <w:p w:rsidR="00D6545E" w:rsidRDefault="00FC6F25">
            <w:pPr>
              <w:spacing w:before="60" w:after="60"/>
              <w:jc w:val="center"/>
            </w:pPr>
            <w:r>
              <w:rPr>
                <w:sz w:val="20"/>
                <w:szCs w:val="20"/>
              </w:rPr>
              <w:t>5.5803</w:t>
            </w:r>
          </w:p>
        </w:tc>
        <w:tc>
          <w:tcPr>
            <w:tcW w:w="1000" w:type="dxa"/>
          </w:tcPr>
          <w:p w:rsidR="00D6545E" w:rsidRDefault="00FC6F25">
            <w:pPr>
              <w:spacing w:before="60" w:after="60"/>
              <w:jc w:val="center"/>
            </w:pPr>
            <w:r>
              <w:rPr>
                <w:sz w:val="20"/>
                <w:szCs w:val="20"/>
              </w:rPr>
              <w:t>1.6115</w:t>
            </w:r>
          </w:p>
        </w:tc>
        <w:tc>
          <w:tcPr>
            <w:tcW w:w="1000" w:type="dxa"/>
          </w:tcPr>
          <w:p w:rsidR="00D6545E" w:rsidRDefault="00FC6F25">
            <w:pPr>
              <w:spacing w:before="60" w:after="60"/>
              <w:jc w:val="center"/>
            </w:pPr>
            <w:r>
              <w:rPr>
                <w:sz w:val="20"/>
                <w:szCs w:val="20"/>
              </w:rPr>
              <w:t>1.9844</w:t>
            </w:r>
          </w:p>
        </w:tc>
        <w:tc>
          <w:tcPr>
            <w:tcW w:w="1100" w:type="dxa"/>
          </w:tcPr>
          <w:p w:rsidR="00D6545E" w:rsidRDefault="00FC6F25">
            <w:pPr>
              <w:spacing w:before="60" w:after="60"/>
              <w:jc w:val="center"/>
            </w:pPr>
            <w:r>
              <w:rPr>
                <w:sz w:val="20"/>
                <w:szCs w:val="20"/>
              </w:rPr>
              <w:t>0.2520</w:t>
            </w:r>
          </w:p>
        </w:tc>
      </w:tr>
      <w:tr w:rsidR="00D6545E">
        <w:tblPrEx>
          <w:tblCellMar>
            <w:top w:w="0" w:type="dxa"/>
            <w:bottom w:w="0" w:type="dxa"/>
          </w:tblCellMar>
        </w:tblPrEx>
        <w:tc>
          <w:tcPr>
            <w:tcW w:w="1500" w:type="dxa"/>
          </w:tcPr>
          <w:p w:rsidR="00D6545E" w:rsidRDefault="00FC6F25">
            <w:pPr>
              <w:spacing w:before="60" w:after="60"/>
              <w:jc w:val="center"/>
            </w:pPr>
            <w:proofErr w:type="spellStart"/>
            <w:r>
              <w:rPr>
                <w:sz w:val="20"/>
                <w:szCs w:val="20"/>
              </w:rPr>
              <w:t>Rutin</w:t>
            </w:r>
            <w:proofErr w:type="spellEnd"/>
          </w:p>
        </w:tc>
        <w:tc>
          <w:tcPr>
            <w:tcW w:w="1200" w:type="dxa"/>
          </w:tcPr>
          <w:p w:rsidR="00D6545E" w:rsidRDefault="00FC6F25">
            <w:pPr>
              <w:spacing w:before="60" w:after="60"/>
              <w:jc w:val="center"/>
            </w:pPr>
            <w:r>
              <w:rPr>
                <w:sz w:val="20"/>
                <w:szCs w:val="20"/>
              </w:rPr>
              <w:t>−</w:t>
            </w:r>
            <w:r>
              <w:rPr>
                <w:sz w:val="20"/>
                <w:szCs w:val="20"/>
              </w:rPr>
              <w:t>5.6247</w:t>
            </w:r>
          </w:p>
        </w:tc>
        <w:tc>
          <w:tcPr>
            <w:tcW w:w="1200" w:type="dxa"/>
          </w:tcPr>
          <w:p w:rsidR="00D6545E" w:rsidRDefault="00FC6F25">
            <w:pPr>
              <w:spacing w:before="60" w:after="60"/>
              <w:jc w:val="center"/>
            </w:pPr>
            <w:r>
              <w:rPr>
                <w:sz w:val="20"/>
                <w:szCs w:val="20"/>
              </w:rPr>
              <w:t>−</w:t>
            </w:r>
            <w:r>
              <w:rPr>
                <w:sz w:val="20"/>
                <w:szCs w:val="20"/>
              </w:rPr>
              <w:t>1.5497</w:t>
            </w:r>
          </w:p>
        </w:tc>
        <w:tc>
          <w:tcPr>
            <w:tcW w:w="1000" w:type="dxa"/>
          </w:tcPr>
          <w:p w:rsidR="00D6545E" w:rsidRDefault="00FC6F25">
            <w:pPr>
              <w:spacing w:before="60" w:after="60"/>
              <w:jc w:val="center"/>
            </w:pPr>
            <w:r>
              <w:rPr>
                <w:sz w:val="20"/>
                <w:szCs w:val="20"/>
              </w:rPr>
              <w:t>4.0750</w:t>
            </w:r>
          </w:p>
        </w:tc>
        <w:tc>
          <w:tcPr>
            <w:tcW w:w="1000" w:type="dxa"/>
          </w:tcPr>
          <w:p w:rsidR="00D6545E" w:rsidRDefault="00FC6F25">
            <w:pPr>
              <w:spacing w:before="60" w:after="60"/>
              <w:jc w:val="center"/>
            </w:pPr>
            <w:r>
              <w:rPr>
                <w:sz w:val="20"/>
                <w:szCs w:val="20"/>
              </w:rPr>
              <w:t>5.6247</w:t>
            </w:r>
          </w:p>
        </w:tc>
        <w:tc>
          <w:tcPr>
            <w:tcW w:w="1000" w:type="dxa"/>
          </w:tcPr>
          <w:p w:rsidR="00D6545E" w:rsidRDefault="00FC6F25">
            <w:pPr>
              <w:spacing w:before="60" w:after="60"/>
              <w:jc w:val="center"/>
            </w:pPr>
            <w:r>
              <w:rPr>
                <w:sz w:val="20"/>
                <w:szCs w:val="20"/>
              </w:rPr>
              <w:t>1.5497</w:t>
            </w:r>
          </w:p>
        </w:tc>
        <w:tc>
          <w:tcPr>
            <w:tcW w:w="1000" w:type="dxa"/>
          </w:tcPr>
          <w:p w:rsidR="00D6545E" w:rsidRDefault="00FC6F25">
            <w:pPr>
              <w:spacing w:before="60" w:after="60"/>
              <w:jc w:val="center"/>
            </w:pPr>
            <w:r>
              <w:rPr>
                <w:sz w:val="20"/>
                <w:szCs w:val="20"/>
              </w:rPr>
              <w:t>2.0375</w:t>
            </w:r>
          </w:p>
        </w:tc>
        <w:tc>
          <w:tcPr>
            <w:tcW w:w="1100" w:type="dxa"/>
          </w:tcPr>
          <w:p w:rsidR="00D6545E" w:rsidRDefault="00FC6F25">
            <w:pPr>
              <w:spacing w:before="60" w:after="60"/>
              <w:jc w:val="center"/>
            </w:pPr>
            <w:r>
              <w:rPr>
                <w:sz w:val="20"/>
                <w:szCs w:val="20"/>
              </w:rPr>
              <w:t>0.2454</w:t>
            </w:r>
          </w:p>
        </w:tc>
      </w:tr>
      <w:tr w:rsidR="00D6545E">
        <w:tblPrEx>
          <w:tblCellMar>
            <w:top w:w="0" w:type="dxa"/>
            <w:bottom w:w="0" w:type="dxa"/>
          </w:tblCellMar>
        </w:tblPrEx>
        <w:tc>
          <w:tcPr>
            <w:tcW w:w="1500" w:type="dxa"/>
          </w:tcPr>
          <w:p w:rsidR="00D6545E" w:rsidRDefault="00FC6F25">
            <w:pPr>
              <w:spacing w:before="60" w:after="60"/>
              <w:jc w:val="center"/>
            </w:pPr>
            <w:proofErr w:type="spellStart"/>
            <w:r>
              <w:rPr>
                <w:sz w:val="20"/>
                <w:szCs w:val="20"/>
              </w:rPr>
              <w:t>Caffeic</w:t>
            </w:r>
            <w:proofErr w:type="spellEnd"/>
            <w:r>
              <w:rPr>
                <w:sz w:val="20"/>
                <w:szCs w:val="20"/>
              </w:rPr>
              <w:t xml:space="preserve"> Acid</w:t>
            </w:r>
          </w:p>
        </w:tc>
        <w:tc>
          <w:tcPr>
            <w:tcW w:w="1200" w:type="dxa"/>
          </w:tcPr>
          <w:p w:rsidR="00D6545E" w:rsidRDefault="00FC6F25">
            <w:pPr>
              <w:spacing w:before="60" w:after="60"/>
              <w:jc w:val="center"/>
            </w:pPr>
            <w:r>
              <w:rPr>
                <w:sz w:val="20"/>
                <w:szCs w:val="20"/>
              </w:rPr>
              <w:t>−</w:t>
            </w:r>
            <w:r>
              <w:rPr>
                <w:sz w:val="20"/>
                <w:szCs w:val="20"/>
              </w:rPr>
              <w:t>5.7234</w:t>
            </w:r>
          </w:p>
        </w:tc>
        <w:tc>
          <w:tcPr>
            <w:tcW w:w="1200" w:type="dxa"/>
          </w:tcPr>
          <w:p w:rsidR="00D6545E" w:rsidRDefault="00FC6F25">
            <w:pPr>
              <w:spacing w:before="60" w:after="60"/>
              <w:jc w:val="center"/>
            </w:pPr>
            <w:r>
              <w:rPr>
                <w:sz w:val="20"/>
                <w:szCs w:val="20"/>
              </w:rPr>
              <w:t>−</w:t>
            </w:r>
            <w:r>
              <w:rPr>
                <w:sz w:val="20"/>
                <w:szCs w:val="20"/>
              </w:rPr>
              <w:t>1.5307</w:t>
            </w:r>
          </w:p>
        </w:tc>
        <w:tc>
          <w:tcPr>
            <w:tcW w:w="1000" w:type="dxa"/>
          </w:tcPr>
          <w:p w:rsidR="00D6545E" w:rsidRDefault="00FC6F25">
            <w:pPr>
              <w:spacing w:before="60" w:after="60"/>
              <w:jc w:val="center"/>
            </w:pPr>
            <w:r>
              <w:rPr>
                <w:sz w:val="20"/>
                <w:szCs w:val="20"/>
              </w:rPr>
              <w:t>4.1927</w:t>
            </w:r>
          </w:p>
        </w:tc>
        <w:tc>
          <w:tcPr>
            <w:tcW w:w="1000" w:type="dxa"/>
          </w:tcPr>
          <w:p w:rsidR="00D6545E" w:rsidRDefault="00FC6F25">
            <w:pPr>
              <w:spacing w:before="60" w:after="60"/>
              <w:jc w:val="center"/>
            </w:pPr>
            <w:r>
              <w:rPr>
                <w:sz w:val="20"/>
                <w:szCs w:val="20"/>
              </w:rPr>
              <w:t>5.7234</w:t>
            </w:r>
          </w:p>
        </w:tc>
        <w:tc>
          <w:tcPr>
            <w:tcW w:w="1000" w:type="dxa"/>
          </w:tcPr>
          <w:p w:rsidR="00D6545E" w:rsidRDefault="00FC6F25">
            <w:pPr>
              <w:spacing w:before="60" w:after="60"/>
              <w:jc w:val="center"/>
            </w:pPr>
            <w:r>
              <w:rPr>
                <w:sz w:val="20"/>
                <w:szCs w:val="20"/>
              </w:rPr>
              <w:t>1.5307</w:t>
            </w:r>
          </w:p>
        </w:tc>
        <w:tc>
          <w:tcPr>
            <w:tcW w:w="1000" w:type="dxa"/>
          </w:tcPr>
          <w:p w:rsidR="00D6545E" w:rsidRDefault="00FC6F25">
            <w:pPr>
              <w:spacing w:before="60" w:after="60"/>
              <w:jc w:val="center"/>
            </w:pPr>
            <w:r>
              <w:rPr>
                <w:sz w:val="20"/>
                <w:szCs w:val="20"/>
              </w:rPr>
              <w:t>2.0964</w:t>
            </w:r>
          </w:p>
        </w:tc>
        <w:tc>
          <w:tcPr>
            <w:tcW w:w="1100" w:type="dxa"/>
          </w:tcPr>
          <w:p w:rsidR="00D6545E" w:rsidRDefault="00FC6F25">
            <w:pPr>
              <w:spacing w:before="60" w:after="60"/>
              <w:jc w:val="center"/>
            </w:pPr>
            <w:r>
              <w:rPr>
                <w:sz w:val="20"/>
                <w:szCs w:val="20"/>
              </w:rPr>
              <w:t>0.2385</w:t>
            </w:r>
          </w:p>
        </w:tc>
      </w:tr>
      <w:tr w:rsidR="00D6545E">
        <w:tblPrEx>
          <w:tblCellMar>
            <w:top w:w="0" w:type="dxa"/>
            <w:bottom w:w="0" w:type="dxa"/>
          </w:tblCellMar>
        </w:tblPrEx>
        <w:tc>
          <w:tcPr>
            <w:tcW w:w="1500" w:type="dxa"/>
          </w:tcPr>
          <w:p w:rsidR="00D6545E" w:rsidRDefault="00FC6F25">
            <w:pPr>
              <w:spacing w:before="60" w:after="60"/>
              <w:jc w:val="center"/>
            </w:pPr>
            <w:r>
              <w:rPr>
                <w:sz w:val="20"/>
                <w:szCs w:val="20"/>
              </w:rPr>
              <w:t>Ascorbic Acid</w:t>
            </w:r>
          </w:p>
        </w:tc>
        <w:tc>
          <w:tcPr>
            <w:tcW w:w="1200" w:type="dxa"/>
          </w:tcPr>
          <w:p w:rsidR="00D6545E" w:rsidRDefault="00FC6F25">
            <w:pPr>
              <w:spacing w:before="60" w:after="60"/>
              <w:jc w:val="center"/>
            </w:pPr>
            <w:r>
              <w:rPr>
                <w:sz w:val="20"/>
                <w:szCs w:val="20"/>
              </w:rPr>
              <w:t>−</w:t>
            </w:r>
            <w:r>
              <w:rPr>
                <w:sz w:val="20"/>
                <w:szCs w:val="20"/>
              </w:rPr>
              <w:t>6.1194</w:t>
            </w:r>
          </w:p>
        </w:tc>
        <w:tc>
          <w:tcPr>
            <w:tcW w:w="1200" w:type="dxa"/>
          </w:tcPr>
          <w:p w:rsidR="00D6545E" w:rsidRDefault="00FC6F25">
            <w:pPr>
              <w:spacing w:before="60" w:after="60"/>
              <w:jc w:val="center"/>
            </w:pPr>
            <w:r>
              <w:rPr>
                <w:sz w:val="20"/>
                <w:szCs w:val="20"/>
              </w:rPr>
              <w:t>−</w:t>
            </w:r>
            <w:r>
              <w:rPr>
                <w:sz w:val="20"/>
                <w:szCs w:val="20"/>
              </w:rPr>
              <w:t>0.7450</w:t>
            </w:r>
          </w:p>
        </w:tc>
        <w:tc>
          <w:tcPr>
            <w:tcW w:w="1000" w:type="dxa"/>
          </w:tcPr>
          <w:p w:rsidR="00D6545E" w:rsidRDefault="00FC6F25">
            <w:pPr>
              <w:spacing w:before="60" w:after="60"/>
              <w:jc w:val="center"/>
            </w:pPr>
            <w:r>
              <w:rPr>
                <w:sz w:val="20"/>
                <w:szCs w:val="20"/>
              </w:rPr>
              <w:t>5.3744</w:t>
            </w:r>
          </w:p>
        </w:tc>
        <w:tc>
          <w:tcPr>
            <w:tcW w:w="1000" w:type="dxa"/>
          </w:tcPr>
          <w:p w:rsidR="00D6545E" w:rsidRDefault="00FC6F25">
            <w:pPr>
              <w:spacing w:before="60" w:after="60"/>
              <w:jc w:val="center"/>
            </w:pPr>
            <w:r>
              <w:rPr>
                <w:sz w:val="20"/>
                <w:szCs w:val="20"/>
              </w:rPr>
              <w:t>6.1194</w:t>
            </w:r>
          </w:p>
        </w:tc>
        <w:tc>
          <w:tcPr>
            <w:tcW w:w="1000" w:type="dxa"/>
          </w:tcPr>
          <w:p w:rsidR="00D6545E" w:rsidRDefault="00FC6F25">
            <w:pPr>
              <w:spacing w:before="60" w:after="60"/>
              <w:jc w:val="center"/>
            </w:pPr>
            <w:r>
              <w:rPr>
                <w:sz w:val="20"/>
                <w:szCs w:val="20"/>
              </w:rPr>
              <w:t>0.7450</w:t>
            </w:r>
          </w:p>
        </w:tc>
        <w:tc>
          <w:tcPr>
            <w:tcW w:w="1000" w:type="dxa"/>
          </w:tcPr>
          <w:p w:rsidR="00D6545E" w:rsidRDefault="00FC6F25">
            <w:pPr>
              <w:spacing w:before="60" w:after="60"/>
              <w:jc w:val="center"/>
            </w:pPr>
            <w:r>
              <w:rPr>
                <w:sz w:val="20"/>
                <w:szCs w:val="20"/>
              </w:rPr>
              <w:t>2.6872</w:t>
            </w:r>
          </w:p>
        </w:tc>
        <w:tc>
          <w:tcPr>
            <w:tcW w:w="1100" w:type="dxa"/>
          </w:tcPr>
          <w:p w:rsidR="00D6545E" w:rsidRDefault="00FC6F25">
            <w:pPr>
              <w:spacing w:before="60" w:after="60"/>
              <w:jc w:val="center"/>
            </w:pPr>
            <w:r>
              <w:rPr>
                <w:sz w:val="20"/>
                <w:szCs w:val="20"/>
              </w:rPr>
              <w:t>0.1861</w:t>
            </w:r>
          </w:p>
        </w:tc>
      </w:tr>
      <w:tr w:rsidR="00D6545E">
        <w:tblPrEx>
          <w:tblCellMar>
            <w:top w:w="0" w:type="dxa"/>
            <w:bottom w:w="0" w:type="dxa"/>
          </w:tblCellMar>
        </w:tblPrEx>
        <w:tc>
          <w:tcPr>
            <w:tcW w:w="1500" w:type="dxa"/>
          </w:tcPr>
          <w:p w:rsidR="00D6545E" w:rsidRDefault="00FC6F25">
            <w:pPr>
              <w:spacing w:before="60" w:after="60"/>
              <w:jc w:val="center"/>
            </w:pPr>
            <w:proofErr w:type="spellStart"/>
            <w:r>
              <w:rPr>
                <w:sz w:val="20"/>
                <w:szCs w:val="20"/>
              </w:rPr>
              <w:t>Catechin</w:t>
            </w:r>
            <w:proofErr w:type="spellEnd"/>
          </w:p>
        </w:tc>
        <w:tc>
          <w:tcPr>
            <w:tcW w:w="1200" w:type="dxa"/>
          </w:tcPr>
          <w:p w:rsidR="00D6545E" w:rsidRDefault="00FC6F25">
            <w:pPr>
              <w:spacing w:before="60" w:after="60"/>
              <w:jc w:val="center"/>
            </w:pPr>
            <w:r>
              <w:rPr>
                <w:sz w:val="20"/>
                <w:szCs w:val="20"/>
              </w:rPr>
              <w:t>−</w:t>
            </w:r>
            <w:r>
              <w:rPr>
                <w:sz w:val="20"/>
                <w:szCs w:val="20"/>
              </w:rPr>
              <w:t>5.3061</w:t>
            </w:r>
          </w:p>
        </w:tc>
        <w:tc>
          <w:tcPr>
            <w:tcW w:w="1200" w:type="dxa"/>
          </w:tcPr>
          <w:p w:rsidR="00D6545E" w:rsidRDefault="00FC6F25">
            <w:pPr>
              <w:spacing w:before="60" w:after="60"/>
              <w:jc w:val="center"/>
            </w:pPr>
            <w:r>
              <w:rPr>
                <w:sz w:val="20"/>
                <w:szCs w:val="20"/>
              </w:rPr>
              <w:t>+0.3440</w:t>
            </w:r>
          </w:p>
        </w:tc>
        <w:tc>
          <w:tcPr>
            <w:tcW w:w="1000" w:type="dxa"/>
          </w:tcPr>
          <w:p w:rsidR="00D6545E" w:rsidRDefault="00FC6F25">
            <w:pPr>
              <w:spacing w:before="60" w:after="60"/>
              <w:jc w:val="center"/>
            </w:pPr>
            <w:r>
              <w:rPr>
                <w:sz w:val="20"/>
                <w:szCs w:val="20"/>
              </w:rPr>
              <w:t>5.6501</w:t>
            </w:r>
          </w:p>
        </w:tc>
        <w:tc>
          <w:tcPr>
            <w:tcW w:w="1000" w:type="dxa"/>
          </w:tcPr>
          <w:p w:rsidR="00D6545E" w:rsidRDefault="00FC6F25">
            <w:pPr>
              <w:spacing w:before="60" w:after="60"/>
              <w:jc w:val="center"/>
            </w:pPr>
            <w:r>
              <w:rPr>
                <w:sz w:val="20"/>
                <w:szCs w:val="20"/>
              </w:rPr>
              <w:t>5.3061</w:t>
            </w:r>
          </w:p>
        </w:tc>
        <w:tc>
          <w:tcPr>
            <w:tcW w:w="1000" w:type="dxa"/>
          </w:tcPr>
          <w:p w:rsidR="00D6545E" w:rsidRDefault="00FC6F25">
            <w:pPr>
              <w:spacing w:before="60" w:after="60"/>
              <w:jc w:val="center"/>
            </w:pPr>
            <w:r>
              <w:rPr>
                <w:sz w:val="20"/>
                <w:szCs w:val="20"/>
              </w:rPr>
              <w:t>−</w:t>
            </w:r>
            <w:r>
              <w:rPr>
                <w:sz w:val="20"/>
                <w:szCs w:val="20"/>
              </w:rPr>
              <w:t>0.3440</w:t>
            </w:r>
          </w:p>
        </w:tc>
        <w:tc>
          <w:tcPr>
            <w:tcW w:w="1000" w:type="dxa"/>
          </w:tcPr>
          <w:p w:rsidR="00D6545E" w:rsidRDefault="00FC6F25">
            <w:pPr>
              <w:spacing w:before="60" w:after="60"/>
              <w:jc w:val="center"/>
            </w:pPr>
            <w:r>
              <w:rPr>
                <w:sz w:val="20"/>
                <w:szCs w:val="20"/>
              </w:rPr>
              <w:t>2.8251</w:t>
            </w:r>
          </w:p>
        </w:tc>
        <w:tc>
          <w:tcPr>
            <w:tcW w:w="1100" w:type="dxa"/>
          </w:tcPr>
          <w:p w:rsidR="00D6545E" w:rsidRDefault="00FC6F25">
            <w:pPr>
              <w:spacing w:before="60" w:after="60"/>
              <w:jc w:val="center"/>
            </w:pPr>
            <w:r>
              <w:rPr>
                <w:sz w:val="20"/>
                <w:szCs w:val="20"/>
              </w:rPr>
              <w:t>0.1770</w:t>
            </w:r>
          </w:p>
        </w:tc>
      </w:tr>
    </w:tbl>
    <w:p w:rsidR="00D6545E" w:rsidRDefault="00D6545E">
      <w:pPr>
        <w:spacing w:before="50" w:after="50"/>
      </w:pPr>
    </w:p>
    <w:p w:rsidR="00D6545E" w:rsidRDefault="00FC6F25">
      <w:pPr>
        <w:spacing w:before="100" w:after="100"/>
        <w:jc w:val="both"/>
      </w:pPr>
      <w:r>
        <w:rPr>
          <w:i/>
          <w:iCs/>
        </w:rPr>
        <w:t>IP = Ionisation Potential; EA = Electron Affinity; η = Chemical Hardness; S = Chemical Softness</w:t>
      </w:r>
    </w:p>
    <w:p w:rsidR="00D6545E" w:rsidRDefault="00FC6F25">
      <w:pPr>
        <w:pStyle w:val="Heading2"/>
        <w:spacing w:before="300" w:after="150"/>
      </w:pPr>
      <w:r>
        <w:lastRenderedPageBreak/>
        <w:t>4.3 Antioxidant Ranking — Computed vs Experimental</w:t>
      </w:r>
    </w:p>
    <w:tbl>
      <w:tblPr>
        <w:tblW w:w="80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1614"/>
        <w:gridCol w:w="1076"/>
        <w:gridCol w:w="1358"/>
        <w:gridCol w:w="1546"/>
        <w:gridCol w:w="1670"/>
      </w:tblGrid>
      <w:tr w:rsidR="00D6545E">
        <w:tblPrEx>
          <w:tblCellMar>
            <w:top w:w="0" w:type="dxa"/>
            <w:bottom w:w="0" w:type="dxa"/>
          </w:tblCellMar>
        </w:tblPrEx>
        <w:trPr>
          <w:tblHeader/>
        </w:trPr>
        <w:tc>
          <w:tcPr>
            <w:tcW w:w="800" w:type="dxa"/>
            <w:shd w:val="clear" w:color="auto" w:fill="D0D0D0"/>
          </w:tcPr>
          <w:p w:rsidR="00D6545E" w:rsidRDefault="00FC6F25">
            <w:pPr>
              <w:spacing w:before="60" w:after="60"/>
              <w:jc w:val="center"/>
            </w:pPr>
            <w:r>
              <w:rPr>
                <w:b/>
                <w:bCs/>
                <w:sz w:val="22"/>
                <w:szCs w:val="22"/>
              </w:rPr>
              <w:t>Rank</w:t>
            </w:r>
          </w:p>
        </w:tc>
        <w:tc>
          <w:tcPr>
            <w:tcW w:w="1800" w:type="dxa"/>
            <w:shd w:val="clear" w:color="auto" w:fill="D0D0D0"/>
          </w:tcPr>
          <w:p w:rsidR="00D6545E" w:rsidRDefault="00FC6F25">
            <w:pPr>
              <w:spacing w:before="60" w:after="60"/>
              <w:jc w:val="center"/>
            </w:pPr>
            <w:r>
              <w:rPr>
                <w:b/>
                <w:bCs/>
                <w:sz w:val="22"/>
                <w:szCs w:val="22"/>
              </w:rPr>
              <w:t>Molecule</w:t>
            </w:r>
          </w:p>
        </w:tc>
        <w:tc>
          <w:tcPr>
            <w:tcW w:w="1200" w:type="dxa"/>
            <w:shd w:val="clear" w:color="auto" w:fill="D0D0D0"/>
          </w:tcPr>
          <w:p w:rsidR="00D6545E" w:rsidRDefault="00FC6F25">
            <w:pPr>
              <w:spacing w:before="60" w:after="60"/>
              <w:jc w:val="center"/>
            </w:pPr>
            <w:r>
              <w:rPr>
                <w:b/>
                <w:bCs/>
                <w:sz w:val="22"/>
                <w:szCs w:val="22"/>
              </w:rPr>
              <w:t>Gap (eV)</w:t>
            </w:r>
          </w:p>
        </w:tc>
        <w:tc>
          <w:tcPr>
            <w:tcW w:w="1500" w:type="dxa"/>
            <w:shd w:val="clear" w:color="auto" w:fill="D0D0D0"/>
          </w:tcPr>
          <w:p w:rsidR="00D6545E" w:rsidRDefault="00FC6F25">
            <w:pPr>
              <w:spacing w:before="60" w:after="60"/>
              <w:jc w:val="center"/>
            </w:pPr>
            <w:r>
              <w:rPr>
                <w:b/>
                <w:bCs/>
                <w:sz w:val="22"/>
                <w:szCs w:val="22"/>
              </w:rPr>
              <w:t>Softness (eV⁻¹)</w:t>
            </w:r>
          </w:p>
        </w:tc>
        <w:tc>
          <w:tcPr>
            <w:tcW w:w="1800" w:type="dxa"/>
            <w:shd w:val="clear" w:color="auto" w:fill="D0D0D0"/>
          </w:tcPr>
          <w:p w:rsidR="00D6545E" w:rsidRDefault="00FC6F25">
            <w:pPr>
              <w:spacing w:before="60" w:after="60"/>
              <w:jc w:val="center"/>
            </w:pPr>
            <w:r>
              <w:rPr>
                <w:b/>
                <w:bCs/>
                <w:sz w:val="22"/>
                <w:szCs w:val="22"/>
              </w:rPr>
              <w:t>Exp. DPPH IC₅₀ (</w:t>
            </w:r>
            <w:proofErr w:type="spellStart"/>
            <w:r>
              <w:rPr>
                <w:b/>
                <w:bCs/>
                <w:sz w:val="22"/>
                <w:szCs w:val="22"/>
              </w:rPr>
              <w:t>μM</w:t>
            </w:r>
            <w:proofErr w:type="spellEnd"/>
            <w:r>
              <w:rPr>
                <w:b/>
                <w:bCs/>
                <w:sz w:val="22"/>
                <w:szCs w:val="22"/>
              </w:rPr>
              <w:t>)</w:t>
            </w:r>
          </w:p>
        </w:tc>
        <w:tc>
          <w:tcPr>
            <w:tcW w:w="1900" w:type="dxa"/>
            <w:shd w:val="clear" w:color="auto" w:fill="D0D0D0"/>
          </w:tcPr>
          <w:p w:rsidR="00D6545E" w:rsidRDefault="00FC6F25">
            <w:pPr>
              <w:spacing w:before="60" w:after="60"/>
              <w:jc w:val="center"/>
            </w:pPr>
            <w:r>
              <w:rPr>
                <w:b/>
                <w:bCs/>
                <w:sz w:val="22"/>
                <w:szCs w:val="22"/>
              </w:rPr>
              <w:t>Ranking match?</w:t>
            </w:r>
          </w:p>
        </w:tc>
      </w:tr>
      <w:tr w:rsidR="00D6545E">
        <w:tblPrEx>
          <w:tblCellMar>
            <w:top w:w="0" w:type="dxa"/>
            <w:bottom w:w="0" w:type="dxa"/>
          </w:tblCellMar>
        </w:tblPrEx>
        <w:tc>
          <w:tcPr>
            <w:tcW w:w="800" w:type="dxa"/>
          </w:tcPr>
          <w:p w:rsidR="00D6545E" w:rsidRDefault="00FC6F25">
            <w:pPr>
              <w:spacing w:before="60" w:after="60"/>
              <w:jc w:val="center"/>
            </w:pPr>
            <w:r>
              <w:rPr>
                <w:sz w:val="20"/>
                <w:szCs w:val="20"/>
              </w:rPr>
              <w:t>1st</w:t>
            </w:r>
          </w:p>
        </w:tc>
        <w:tc>
          <w:tcPr>
            <w:tcW w:w="1800" w:type="dxa"/>
          </w:tcPr>
          <w:p w:rsidR="00D6545E" w:rsidRDefault="00FC6F25">
            <w:pPr>
              <w:spacing w:before="60" w:after="60"/>
              <w:jc w:val="center"/>
            </w:pPr>
            <w:r>
              <w:rPr>
                <w:sz w:val="20"/>
                <w:szCs w:val="20"/>
              </w:rPr>
              <w:t>Quercetin</w:t>
            </w:r>
          </w:p>
        </w:tc>
        <w:tc>
          <w:tcPr>
            <w:tcW w:w="1200" w:type="dxa"/>
          </w:tcPr>
          <w:p w:rsidR="00D6545E" w:rsidRDefault="00FC6F25">
            <w:pPr>
              <w:spacing w:before="60" w:after="60"/>
              <w:jc w:val="center"/>
            </w:pPr>
            <w:r>
              <w:rPr>
                <w:sz w:val="20"/>
                <w:szCs w:val="20"/>
              </w:rPr>
              <w:t>3.9688</w:t>
            </w:r>
          </w:p>
        </w:tc>
        <w:tc>
          <w:tcPr>
            <w:tcW w:w="1500" w:type="dxa"/>
          </w:tcPr>
          <w:p w:rsidR="00D6545E" w:rsidRDefault="00FC6F25">
            <w:pPr>
              <w:spacing w:before="60" w:after="60"/>
              <w:jc w:val="center"/>
            </w:pPr>
            <w:r>
              <w:rPr>
                <w:sz w:val="20"/>
                <w:szCs w:val="20"/>
              </w:rPr>
              <w:t>0.2520</w:t>
            </w:r>
          </w:p>
        </w:tc>
        <w:tc>
          <w:tcPr>
            <w:tcW w:w="1800" w:type="dxa"/>
          </w:tcPr>
          <w:p w:rsidR="00D6545E" w:rsidRDefault="00FC6F25">
            <w:pPr>
              <w:spacing w:before="60" w:after="60"/>
              <w:jc w:val="center"/>
            </w:pPr>
            <w:r>
              <w:rPr>
                <w:sz w:val="20"/>
                <w:szCs w:val="20"/>
              </w:rPr>
              <w:t>8.4</w:t>
            </w:r>
          </w:p>
        </w:tc>
        <w:tc>
          <w:tcPr>
            <w:tcW w:w="1900" w:type="dxa"/>
          </w:tcPr>
          <w:p w:rsidR="00D6545E" w:rsidRDefault="00FC6F25">
            <w:pPr>
              <w:spacing w:before="60" w:after="60"/>
              <w:jc w:val="center"/>
            </w:pPr>
            <w:r>
              <w:rPr>
                <w:sz w:val="20"/>
                <w:szCs w:val="20"/>
              </w:rPr>
              <w:t>✅</w:t>
            </w:r>
            <w:r>
              <w:rPr>
                <w:sz w:val="20"/>
                <w:szCs w:val="20"/>
              </w:rPr>
              <w:t xml:space="preserve"> Match</w:t>
            </w:r>
          </w:p>
        </w:tc>
      </w:tr>
      <w:tr w:rsidR="00D6545E">
        <w:tblPrEx>
          <w:tblCellMar>
            <w:top w:w="0" w:type="dxa"/>
            <w:bottom w:w="0" w:type="dxa"/>
          </w:tblCellMar>
        </w:tblPrEx>
        <w:tc>
          <w:tcPr>
            <w:tcW w:w="800" w:type="dxa"/>
          </w:tcPr>
          <w:p w:rsidR="00D6545E" w:rsidRDefault="00FC6F25">
            <w:pPr>
              <w:spacing w:before="60" w:after="60"/>
              <w:jc w:val="center"/>
            </w:pPr>
            <w:r>
              <w:rPr>
                <w:sz w:val="20"/>
                <w:szCs w:val="20"/>
              </w:rPr>
              <w:t>5th</w:t>
            </w:r>
          </w:p>
        </w:tc>
        <w:tc>
          <w:tcPr>
            <w:tcW w:w="1800" w:type="dxa"/>
          </w:tcPr>
          <w:p w:rsidR="00D6545E" w:rsidRDefault="00FC6F25">
            <w:pPr>
              <w:spacing w:before="60" w:after="60"/>
              <w:jc w:val="center"/>
            </w:pPr>
            <w:proofErr w:type="spellStart"/>
            <w:r>
              <w:rPr>
                <w:sz w:val="20"/>
                <w:szCs w:val="20"/>
              </w:rPr>
              <w:t>Rutin</w:t>
            </w:r>
            <w:proofErr w:type="spellEnd"/>
          </w:p>
        </w:tc>
        <w:tc>
          <w:tcPr>
            <w:tcW w:w="1200" w:type="dxa"/>
          </w:tcPr>
          <w:p w:rsidR="00D6545E" w:rsidRDefault="00FC6F25">
            <w:pPr>
              <w:spacing w:before="60" w:after="60"/>
              <w:jc w:val="center"/>
            </w:pPr>
            <w:r>
              <w:rPr>
                <w:sz w:val="20"/>
                <w:szCs w:val="20"/>
              </w:rPr>
              <w:t>4.0750</w:t>
            </w:r>
          </w:p>
        </w:tc>
        <w:tc>
          <w:tcPr>
            <w:tcW w:w="1500" w:type="dxa"/>
          </w:tcPr>
          <w:p w:rsidR="00D6545E" w:rsidRDefault="00FC6F25">
            <w:pPr>
              <w:spacing w:before="60" w:after="60"/>
              <w:jc w:val="center"/>
            </w:pPr>
            <w:r>
              <w:rPr>
                <w:sz w:val="20"/>
                <w:szCs w:val="20"/>
              </w:rPr>
              <w:t>0.2454</w:t>
            </w:r>
          </w:p>
        </w:tc>
        <w:tc>
          <w:tcPr>
            <w:tcW w:w="1800" w:type="dxa"/>
          </w:tcPr>
          <w:p w:rsidR="00D6545E" w:rsidRDefault="00FC6F25">
            <w:pPr>
              <w:spacing w:before="60" w:after="60"/>
              <w:jc w:val="center"/>
            </w:pPr>
            <w:r>
              <w:rPr>
                <w:sz w:val="20"/>
                <w:szCs w:val="20"/>
              </w:rPr>
              <w:t>~12.6</w:t>
            </w:r>
          </w:p>
        </w:tc>
        <w:tc>
          <w:tcPr>
            <w:tcW w:w="1900" w:type="dxa"/>
          </w:tcPr>
          <w:p w:rsidR="00D6545E" w:rsidRDefault="00FC6F25">
            <w:pPr>
              <w:spacing w:before="60" w:after="60"/>
              <w:jc w:val="center"/>
            </w:pPr>
            <w:r>
              <w:rPr>
                <w:sz w:val="20"/>
                <w:szCs w:val="20"/>
              </w:rPr>
              <w:t>✅</w:t>
            </w:r>
            <w:r>
              <w:rPr>
                <w:sz w:val="20"/>
                <w:szCs w:val="20"/>
              </w:rPr>
              <w:t xml:space="preserve"> Match</w:t>
            </w:r>
          </w:p>
        </w:tc>
      </w:tr>
      <w:tr w:rsidR="00D6545E">
        <w:tblPrEx>
          <w:tblCellMar>
            <w:top w:w="0" w:type="dxa"/>
            <w:bottom w:w="0" w:type="dxa"/>
          </w:tblCellMar>
        </w:tblPrEx>
        <w:tc>
          <w:tcPr>
            <w:tcW w:w="800" w:type="dxa"/>
          </w:tcPr>
          <w:p w:rsidR="00D6545E" w:rsidRDefault="00FC6F25">
            <w:pPr>
              <w:spacing w:before="60" w:after="60"/>
              <w:jc w:val="center"/>
            </w:pPr>
            <w:r>
              <w:rPr>
                <w:sz w:val="20"/>
                <w:szCs w:val="20"/>
              </w:rPr>
              <w:t>2nd</w:t>
            </w:r>
          </w:p>
        </w:tc>
        <w:tc>
          <w:tcPr>
            <w:tcW w:w="1800" w:type="dxa"/>
          </w:tcPr>
          <w:p w:rsidR="00D6545E" w:rsidRDefault="00FC6F25">
            <w:pPr>
              <w:spacing w:before="60" w:after="60"/>
              <w:jc w:val="center"/>
            </w:pPr>
            <w:proofErr w:type="spellStart"/>
            <w:r>
              <w:rPr>
                <w:sz w:val="20"/>
                <w:szCs w:val="20"/>
              </w:rPr>
              <w:t>Caffeic</w:t>
            </w:r>
            <w:proofErr w:type="spellEnd"/>
            <w:r>
              <w:rPr>
                <w:sz w:val="20"/>
                <w:szCs w:val="20"/>
              </w:rPr>
              <w:t xml:space="preserve"> Acid</w:t>
            </w:r>
          </w:p>
        </w:tc>
        <w:tc>
          <w:tcPr>
            <w:tcW w:w="1200" w:type="dxa"/>
          </w:tcPr>
          <w:p w:rsidR="00D6545E" w:rsidRDefault="00FC6F25">
            <w:pPr>
              <w:spacing w:before="60" w:after="60"/>
              <w:jc w:val="center"/>
            </w:pPr>
            <w:r>
              <w:rPr>
                <w:sz w:val="20"/>
                <w:szCs w:val="20"/>
              </w:rPr>
              <w:t>4.1927</w:t>
            </w:r>
          </w:p>
        </w:tc>
        <w:tc>
          <w:tcPr>
            <w:tcW w:w="1500" w:type="dxa"/>
          </w:tcPr>
          <w:p w:rsidR="00D6545E" w:rsidRDefault="00FC6F25">
            <w:pPr>
              <w:spacing w:before="60" w:after="60"/>
              <w:jc w:val="center"/>
            </w:pPr>
            <w:r>
              <w:rPr>
                <w:sz w:val="20"/>
                <w:szCs w:val="20"/>
              </w:rPr>
              <w:t>0.2385</w:t>
            </w:r>
          </w:p>
        </w:tc>
        <w:tc>
          <w:tcPr>
            <w:tcW w:w="1800" w:type="dxa"/>
          </w:tcPr>
          <w:p w:rsidR="00D6545E" w:rsidRDefault="00FC6F25">
            <w:pPr>
              <w:spacing w:before="60" w:after="60"/>
              <w:jc w:val="center"/>
            </w:pPr>
            <w:r>
              <w:rPr>
                <w:sz w:val="20"/>
                <w:szCs w:val="20"/>
              </w:rPr>
              <w:t>14.0</w:t>
            </w:r>
          </w:p>
        </w:tc>
        <w:tc>
          <w:tcPr>
            <w:tcW w:w="1900" w:type="dxa"/>
          </w:tcPr>
          <w:p w:rsidR="00D6545E" w:rsidRDefault="00FC6F25">
            <w:pPr>
              <w:spacing w:before="60" w:after="60"/>
              <w:jc w:val="center"/>
            </w:pPr>
            <w:r>
              <w:rPr>
                <w:sz w:val="20"/>
                <w:szCs w:val="20"/>
              </w:rPr>
              <w:t>✅</w:t>
            </w:r>
            <w:r>
              <w:rPr>
                <w:sz w:val="20"/>
                <w:szCs w:val="20"/>
              </w:rPr>
              <w:t xml:space="preserve"> Match</w:t>
            </w:r>
          </w:p>
        </w:tc>
      </w:tr>
      <w:tr w:rsidR="00D6545E">
        <w:tblPrEx>
          <w:tblCellMar>
            <w:top w:w="0" w:type="dxa"/>
            <w:bottom w:w="0" w:type="dxa"/>
          </w:tblCellMar>
        </w:tblPrEx>
        <w:tc>
          <w:tcPr>
            <w:tcW w:w="800" w:type="dxa"/>
          </w:tcPr>
          <w:p w:rsidR="00D6545E" w:rsidRDefault="00FC6F25">
            <w:pPr>
              <w:spacing w:before="60" w:after="60"/>
              <w:jc w:val="center"/>
            </w:pPr>
            <w:r>
              <w:rPr>
                <w:sz w:val="20"/>
                <w:szCs w:val="20"/>
              </w:rPr>
              <w:t>3rd</w:t>
            </w:r>
          </w:p>
        </w:tc>
        <w:tc>
          <w:tcPr>
            <w:tcW w:w="1800" w:type="dxa"/>
          </w:tcPr>
          <w:p w:rsidR="00D6545E" w:rsidRDefault="00FC6F25">
            <w:pPr>
              <w:spacing w:before="60" w:after="60"/>
              <w:jc w:val="center"/>
            </w:pPr>
            <w:r>
              <w:rPr>
                <w:sz w:val="20"/>
                <w:szCs w:val="20"/>
              </w:rPr>
              <w:t>Ascorbic Acid</w:t>
            </w:r>
          </w:p>
        </w:tc>
        <w:tc>
          <w:tcPr>
            <w:tcW w:w="1200" w:type="dxa"/>
          </w:tcPr>
          <w:p w:rsidR="00D6545E" w:rsidRDefault="00FC6F25">
            <w:pPr>
              <w:spacing w:before="60" w:after="60"/>
              <w:jc w:val="center"/>
            </w:pPr>
            <w:r>
              <w:rPr>
                <w:sz w:val="20"/>
                <w:szCs w:val="20"/>
              </w:rPr>
              <w:t>5.3744</w:t>
            </w:r>
          </w:p>
        </w:tc>
        <w:tc>
          <w:tcPr>
            <w:tcW w:w="1500" w:type="dxa"/>
          </w:tcPr>
          <w:p w:rsidR="00D6545E" w:rsidRDefault="00FC6F25">
            <w:pPr>
              <w:spacing w:before="60" w:after="60"/>
              <w:jc w:val="center"/>
            </w:pPr>
            <w:r>
              <w:rPr>
                <w:sz w:val="20"/>
                <w:szCs w:val="20"/>
              </w:rPr>
              <w:t>0.1861</w:t>
            </w:r>
          </w:p>
        </w:tc>
        <w:tc>
          <w:tcPr>
            <w:tcW w:w="1800" w:type="dxa"/>
          </w:tcPr>
          <w:p w:rsidR="00D6545E" w:rsidRDefault="00FC6F25">
            <w:pPr>
              <w:spacing w:before="60" w:after="60"/>
              <w:jc w:val="center"/>
            </w:pPr>
            <w:r>
              <w:rPr>
                <w:sz w:val="20"/>
                <w:szCs w:val="20"/>
              </w:rPr>
              <w:t>31.3</w:t>
            </w:r>
          </w:p>
        </w:tc>
        <w:tc>
          <w:tcPr>
            <w:tcW w:w="1900" w:type="dxa"/>
          </w:tcPr>
          <w:p w:rsidR="00D6545E" w:rsidRDefault="00FC6F25">
            <w:pPr>
              <w:spacing w:before="60" w:after="60"/>
              <w:jc w:val="center"/>
            </w:pPr>
            <w:r>
              <w:rPr>
                <w:sz w:val="20"/>
                <w:szCs w:val="20"/>
              </w:rPr>
              <w:t>⚠</w:t>
            </w:r>
            <w:r>
              <w:rPr>
                <w:sz w:val="20"/>
                <w:szCs w:val="20"/>
              </w:rPr>
              <w:t>️</w:t>
            </w:r>
            <w:r>
              <w:rPr>
                <w:sz w:val="20"/>
                <w:szCs w:val="20"/>
              </w:rPr>
              <w:t xml:space="preserve"> Partial</w:t>
            </w:r>
          </w:p>
        </w:tc>
      </w:tr>
      <w:tr w:rsidR="00D6545E">
        <w:tblPrEx>
          <w:tblCellMar>
            <w:top w:w="0" w:type="dxa"/>
            <w:bottom w:w="0" w:type="dxa"/>
          </w:tblCellMar>
        </w:tblPrEx>
        <w:tc>
          <w:tcPr>
            <w:tcW w:w="800" w:type="dxa"/>
          </w:tcPr>
          <w:p w:rsidR="00D6545E" w:rsidRDefault="00FC6F25">
            <w:pPr>
              <w:spacing w:before="60" w:after="60"/>
              <w:jc w:val="center"/>
            </w:pPr>
            <w:r>
              <w:rPr>
                <w:sz w:val="20"/>
                <w:szCs w:val="20"/>
              </w:rPr>
              <w:t>4th</w:t>
            </w:r>
          </w:p>
        </w:tc>
        <w:tc>
          <w:tcPr>
            <w:tcW w:w="1800" w:type="dxa"/>
          </w:tcPr>
          <w:p w:rsidR="00D6545E" w:rsidRDefault="00FC6F25">
            <w:pPr>
              <w:spacing w:before="60" w:after="60"/>
              <w:jc w:val="center"/>
            </w:pPr>
            <w:proofErr w:type="spellStart"/>
            <w:r>
              <w:rPr>
                <w:sz w:val="20"/>
                <w:szCs w:val="20"/>
              </w:rPr>
              <w:t>Catechin</w:t>
            </w:r>
            <w:proofErr w:type="spellEnd"/>
          </w:p>
        </w:tc>
        <w:tc>
          <w:tcPr>
            <w:tcW w:w="1200" w:type="dxa"/>
          </w:tcPr>
          <w:p w:rsidR="00D6545E" w:rsidRDefault="00FC6F25">
            <w:pPr>
              <w:spacing w:before="60" w:after="60"/>
              <w:jc w:val="center"/>
            </w:pPr>
            <w:r>
              <w:rPr>
                <w:sz w:val="20"/>
                <w:szCs w:val="20"/>
              </w:rPr>
              <w:t>5.6501</w:t>
            </w:r>
          </w:p>
        </w:tc>
        <w:tc>
          <w:tcPr>
            <w:tcW w:w="1500" w:type="dxa"/>
          </w:tcPr>
          <w:p w:rsidR="00D6545E" w:rsidRDefault="00FC6F25">
            <w:pPr>
              <w:spacing w:before="60" w:after="60"/>
              <w:jc w:val="center"/>
            </w:pPr>
            <w:r>
              <w:rPr>
                <w:sz w:val="20"/>
                <w:szCs w:val="20"/>
              </w:rPr>
              <w:t>0.1770</w:t>
            </w:r>
          </w:p>
        </w:tc>
        <w:tc>
          <w:tcPr>
            <w:tcW w:w="1800" w:type="dxa"/>
          </w:tcPr>
          <w:p w:rsidR="00D6545E" w:rsidRDefault="00FC6F25">
            <w:pPr>
              <w:spacing w:before="60" w:after="60"/>
              <w:jc w:val="center"/>
            </w:pPr>
            <w:r>
              <w:rPr>
                <w:sz w:val="20"/>
                <w:szCs w:val="20"/>
              </w:rPr>
              <w:t>15.0</w:t>
            </w:r>
          </w:p>
        </w:tc>
        <w:tc>
          <w:tcPr>
            <w:tcW w:w="1900" w:type="dxa"/>
          </w:tcPr>
          <w:p w:rsidR="00D6545E" w:rsidRDefault="00FC6F25">
            <w:pPr>
              <w:spacing w:before="60" w:after="60"/>
              <w:jc w:val="center"/>
            </w:pPr>
            <w:r>
              <w:rPr>
                <w:sz w:val="20"/>
                <w:szCs w:val="20"/>
              </w:rPr>
              <w:t>⚠</w:t>
            </w:r>
            <w:r>
              <w:rPr>
                <w:sz w:val="20"/>
                <w:szCs w:val="20"/>
              </w:rPr>
              <w:t>️</w:t>
            </w:r>
            <w:r>
              <w:rPr>
                <w:sz w:val="20"/>
                <w:szCs w:val="20"/>
              </w:rPr>
              <w:t xml:space="preserve"> Partial</w:t>
            </w:r>
          </w:p>
        </w:tc>
      </w:tr>
    </w:tbl>
    <w:p w:rsidR="00D6545E" w:rsidRDefault="00D6545E">
      <w:pPr>
        <w:spacing w:before="50" w:after="50"/>
      </w:pPr>
    </w:p>
    <w:p w:rsidR="00D6545E" w:rsidRDefault="00FC6F25">
      <w:r>
        <w:br w:type="page"/>
      </w:r>
    </w:p>
    <w:p w:rsidR="00D6545E" w:rsidRDefault="00FC6F25">
      <w:pPr>
        <w:pStyle w:val="Heading1"/>
        <w:spacing w:before="400" w:after="200"/>
      </w:pPr>
      <w:r>
        <w:lastRenderedPageBreak/>
        <w:t>5. Discussion</w:t>
      </w:r>
    </w:p>
    <w:p w:rsidR="00D6545E" w:rsidRDefault="00FC6F25">
      <w:pPr>
        <w:pStyle w:val="Heading2"/>
        <w:spacing w:before="300" w:after="150"/>
      </w:pPr>
      <w:r>
        <w:t>5.1 Why Quercetin is the Strongest Antioxidant</w:t>
      </w:r>
    </w:p>
    <w:p w:rsidR="00D6545E" w:rsidRDefault="00FC6F25">
      <w:pPr>
        <w:spacing w:before="100" w:after="100"/>
        <w:jc w:val="both"/>
      </w:pPr>
      <w:r>
        <w:t>Quercetin's position as the strongest antioxidant in this series is explained at every level of the electronic structure analysis:</w:t>
      </w:r>
    </w:p>
    <w:p w:rsidR="00D6545E" w:rsidRDefault="00FC6F25">
      <w:pPr>
        <w:spacing w:before="100" w:after="100"/>
        <w:jc w:val="both"/>
      </w:pPr>
      <w:r>
        <w:rPr>
          <w:b/>
          <w:bCs/>
        </w:rPr>
        <w:t>Structural basis:</w:t>
      </w:r>
      <w:r>
        <w:t xml:space="preserve"> Quercetin (C₁₅H₁₀O₇) possesses a </w:t>
      </w:r>
      <w:r>
        <w:rPr>
          <w:b/>
          <w:bCs/>
        </w:rPr>
        <w:t>4-oxo-flavonol skeleton</w:t>
      </w:r>
      <w:r>
        <w:t xml:space="preserve"> with five hydroxyl groups arranged across two arom</w:t>
      </w:r>
      <w:r>
        <w:t xml:space="preserve">atic ring systems (the A and B rings) connected by a conjugated </w:t>
      </w:r>
      <w:proofErr w:type="spellStart"/>
      <w:r>
        <w:t>chromone</w:t>
      </w:r>
      <w:proofErr w:type="spellEnd"/>
      <w:r>
        <w:t xml:space="preserve"> C ring containing a carbonyl group (C=O). This arrangement creates a fully conjugated π-electron system across the entire molecule. The catechol unit (two adjacent OH groups) on the B</w:t>
      </w:r>
      <w:r>
        <w:t xml:space="preserve"> ring is particularly critical — the two adjacent hydroxyl groups allow the formation of an exceptionally stable </w:t>
      </w:r>
      <w:proofErr w:type="spellStart"/>
      <w:r>
        <w:t>semiquinone</w:t>
      </w:r>
      <w:proofErr w:type="spellEnd"/>
      <w:r>
        <w:t xml:space="preserve"> radical after electron donation.</w:t>
      </w:r>
    </w:p>
    <w:p w:rsidR="00D6545E" w:rsidRDefault="00FC6F25">
      <w:pPr>
        <w:spacing w:before="100" w:after="100"/>
        <w:jc w:val="both"/>
      </w:pPr>
      <w:r>
        <w:rPr>
          <w:b/>
          <w:bCs/>
        </w:rPr>
        <w:t>HOMO energy:</w:t>
      </w:r>
      <w:r>
        <w:t xml:space="preserve"> Quercetin's HOMO energy of −5.5803 eV is the second highest (least negative) in the s</w:t>
      </w:r>
      <w:r>
        <w:t xml:space="preserve">eries after </w:t>
      </w:r>
      <w:proofErr w:type="spellStart"/>
      <w:r>
        <w:t>catechin</w:t>
      </w:r>
      <w:proofErr w:type="spellEnd"/>
      <w:r>
        <w:t>. This means its highest-energy electrons are relatively loosely held. Its ionisation potential of 5.58 eV is lower than ascorbic acid's 6.12 eV, confirming easier electron removal.</w:t>
      </w:r>
    </w:p>
    <w:p w:rsidR="00D6545E" w:rsidRDefault="00FC6F25">
      <w:pPr>
        <w:spacing w:before="100" w:after="100"/>
        <w:jc w:val="both"/>
      </w:pPr>
      <w:r>
        <w:rPr>
          <w:b/>
          <w:bCs/>
        </w:rPr>
        <w:t>HOMO-LUMO gap:</w:t>
      </w:r>
      <w:r>
        <w:t xml:space="preserve"> The gap of 3.9688 eV is the smallest in</w:t>
      </w:r>
      <w:r>
        <w:t xml:space="preserve"> the series — by a significant margin. According to Frontier Molecular Orbital theory, a smaller gap means the molecule's electrons are more easily excited and transferred to electron-deficient species (free radicals). Quercetin is therefore the most "reac</w:t>
      </w:r>
      <w:r>
        <w:t>tive" molecule in the series from an electron-transfer perspective.</w:t>
      </w:r>
    </w:p>
    <w:p w:rsidR="00D6545E" w:rsidRDefault="00FC6F25">
      <w:pPr>
        <w:spacing w:before="100" w:after="100"/>
        <w:jc w:val="both"/>
      </w:pPr>
      <w:r>
        <w:rPr>
          <w:b/>
          <w:bCs/>
        </w:rPr>
        <w:t>HOMO orbital shape:</w:t>
      </w:r>
      <w:r>
        <w:t xml:space="preserve"> The HOMO is delocalized across </w:t>
      </w:r>
      <w:r>
        <w:rPr>
          <w:i/>
          <w:iCs/>
        </w:rPr>
        <w:t>both</w:t>
      </w:r>
      <w:r>
        <w:t xml:space="preserve"> aromatic rings and the carbonyl group — spanning essentially the entire molecular framework. This extended delocalization is the qua</w:t>
      </w:r>
      <w:r>
        <w:t>ntum mechanical explanation for quercetin's exceptional antioxidant properties: the electron being donated does not originate from one localised bond but from a spread-out cloud encompassing the whole molecule, making donation easier and the resulting radi</w:t>
      </w:r>
      <w:r>
        <w:t>cal more stable.</w:t>
      </w:r>
    </w:p>
    <w:p w:rsidR="00D6545E" w:rsidRDefault="00FC6F25">
      <w:pPr>
        <w:spacing w:before="100" w:after="100"/>
        <w:jc w:val="both"/>
      </w:pPr>
      <w:r>
        <w:rPr>
          <w:b/>
          <w:bCs/>
        </w:rPr>
        <w:t>ESP map:</w:t>
      </w:r>
      <w:r>
        <w:t xml:space="preserve"> Quercetin's ESP map shows the most extensive red (electron-rich) surface coverage among all four molecules — confirming that its entire surface is enriched </w:t>
      </w:r>
      <w:r>
        <w:lastRenderedPageBreak/>
        <w:t>with electron density available for radical scavenging, particularly aroun</w:t>
      </w:r>
      <w:r>
        <w:t>d the OH groups and aromatic rings.</w:t>
      </w:r>
    </w:p>
    <w:p w:rsidR="00D6545E" w:rsidRDefault="00FC6F25">
      <w:pPr>
        <w:pStyle w:val="Heading2"/>
        <w:spacing w:before="300" w:after="150"/>
      </w:pPr>
      <w:r>
        <w:t xml:space="preserve">5.2 Why </w:t>
      </w:r>
      <w:proofErr w:type="spellStart"/>
      <w:r>
        <w:t>Caffeic</w:t>
      </w:r>
      <w:proofErr w:type="spellEnd"/>
      <w:r>
        <w:t xml:space="preserve"> Acid Ranks Second — </w:t>
      </w:r>
      <w:proofErr w:type="gramStart"/>
      <w:r>
        <w:t>A</w:t>
      </w:r>
      <w:proofErr w:type="gramEnd"/>
      <w:r>
        <w:t xml:space="preserve"> Surprising Result</w:t>
      </w:r>
    </w:p>
    <w:p w:rsidR="00D6545E" w:rsidRDefault="00FC6F25">
      <w:pPr>
        <w:spacing w:before="100" w:after="100"/>
        <w:jc w:val="both"/>
      </w:pPr>
      <w:proofErr w:type="spellStart"/>
      <w:r>
        <w:t>Caffeic</w:t>
      </w:r>
      <w:proofErr w:type="spellEnd"/>
      <w:r>
        <w:t xml:space="preserve"> acid (C₉H₈O₄, MW = 180.16 Da) is a small molecule compared to quercetin, yet it ranks second with a gap of only 4.1927 eV. This is the most chemically inter</w:t>
      </w:r>
      <w:r>
        <w:t>esting finding of the study, and it merits careful explanation.</w:t>
      </w:r>
    </w:p>
    <w:p w:rsidR="00D6545E" w:rsidRDefault="00FC6F25">
      <w:pPr>
        <w:spacing w:before="100" w:after="100"/>
        <w:jc w:val="both"/>
      </w:pPr>
      <w:r>
        <w:rPr>
          <w:b/>
          <w:bCs/>
        </w:rPr>
        <w:t>The key is conjugation:</w:t>
      </w:r>
      <w:r>
        <w:t xml:space="preserve"> </w:t>
      </w:r>
      <w:proofErr w:type="spellStart"/>
      <w:r>
        <w:t>Caffeic</w:t>
      </w:r>
      <w:proofErr w:type="spellEnd"/>
      <w:r>
        <w:t xml:space="preserve"> acid consists of a catechol ring (two adjacent OH groups on a benzene ring) connected to a </w:t>
      </w:r>
      <w:proofErr w:type="spellStart"/>
      <w:r>
        <w:t>propenoic</w:t>
      </w:r>
      <w:proofErr w:type="spellEnd"/>
      <w:r>
        <w:t xml:space="preserve"> acid side chain (CH=CH-COOH) through a C=C double bond. Thi</w:t>
      </w:r>
      <w:r>
        <w:t xml:space="preserve">s creates a </w:t>
      </w:r>
      <w:r>
        <w:rPr>
          <w:b/>
          <w:bCs/>
        </w:rPr>
        <w:t>fully conjugated π system</w:t>
      </w:r>
      <w:r>
        <w:t xml:space="preserve"> that extends from the carboxylate oxygen all the way through the vinyl chain to the catechol ring. This extended conjugation over the entire molecular backbone is visible in the HOMO orbital image — the lobes cover the complete molecule, not just one ring</w:t>
      </w:r>
      <w:r>
        <w:t>.</w:t>
      </w:r>
    </w:p>
    <w:p w:rsidR="00D6545E" w:rsidRDefault="00FC6F25">
      <w:pPr>
        <w:spacing w:before="100" w:after="100"/>
        <w:jc w:val="both"/>
      </w:pPr>
      <w:r>
        <w:t>The carboxylate group (COOH) acts as an electron-withdrawing group that lowers the LUMO energy significantly (−1.5307 eV), while the catechol's electron-donating OH groups raise the HOMO energy. The combination of an electron-donating group and an electr</w:t>
      </w:r>
      <w:r>
        <w:t>on-withdrawing group at opposite ends of a conjugated chain is a classical "push-pull" or "donor-acceptor" system that minimises the HOMO-LUMO gap — exactly what we observe.</w:t>
      </w:r>
    </w:p>
    <w:p w:rsidR="00D6545E" w:rsidRDefault="00FC6F25">
      <w:pPr>
        <w:spacing w:before="100" w:after="100"/>
        <w:jc w:val="both"/>
      </w:pPr>
      <w:r>
        <w:t xml:space="preserve">This result demonstrates a fundamental principle: </w:t>
      </w:r>
      <w:r>
        <w:rPr>
          <w:b/>
          <w:bCs/>
        </w:rPr>
        <w:t>size alone does not determine an</w:t>
      </w:r>
      <w:r>
        <w:rPr>
          <w:b/>
          <w:bCs/>
        </w:rPr>
        <w:t>tioxidant strength</w:t>
      </w:r>
      <w:r>
        <w:t xml:space="preserve">. Molecular architecture and the extent of π-conjugation are far more important. </w:t>
      </w:r>
      <w:proofErr w:type="spellStart"/>
      <w:r>
        <w:t>Caffeic</w:t>
      </w:r>
      <w:proofErr w:type="spellEnd"/>
      <w:r>
        <w:t xml:space="preserve"> acid, despite being less than half the molecular weight of quercetin, outperforms </w:t>
      </w:r>
      <w:proofErr w:type="spellStart"/>
      <w:r>
        <w:t>catechin</w:t>
      </w:r>
      <w:proofErr w:type="spellEnd"/>
      <w:r>
        <w:t xml:space="preserve"> (which is twice its size) because of its superior conjugat</w:t>
      </w:r>
      <w:r>
        <w:t>ed architecture.</w:t>
      </w:r>
    </w:p>
    <w:p w:rsidR="00D6545E" w:rsidRDefault="00FC6F25">
      <w:pPr>
        <w:pStyle w:val="Heading2"/>
        <w:spacing w:before="300" w:after="150"/>
      </w:pPr>
      <w:r>
        <w:t>5.3 Why Ascorbic Acid Deviates from the HOMO-LUMO Gap Correlation</w:t>
      </w:r>
    </w:p>
    <w:p w:rsidR="00D6545E" w:rsidRDefault="00FC6F25">
      <w:pPr>
        <w:spacing w:before="100" w:after="100"/>
        <w:jc w:val="both"/>
      </w:pPr>
      <w:r>
        <w:t xml:space="preserve">Ascorbic acid (Vitamin C) shows the most interesting deviation in this study. Its HOMO-LUMO gap of 5.3744 eV predicts it should be a weaker antioxidant than </w:t>
      </w:r>
      <w:proofErr w:type="spellStart"/>
      <w:r>
        <w:t>caffeic</w:t>
      </w:r>
      <w:proofErr w:type="spellEnd"/>
      <w:r>
        <w:t xml:space="preserve"> acid — a</w:t>
      </w:r>
      <w:r>
        <w:t xml:space="preserve">nd computationally, that is correct. However, experimentally, ascorbic acid's DPPH IC₅₀ of 31.3 </w:t>
      </w:r>
      <w:proofErr w:type="spellStart"/>
      <w:r>
        <w:t>μM</w:t>
      </w:r>
      <w:proofErr w:type="spellEnd"/>
      <w:r>
        <w:t xml:space="preserve"> places it third, which is actually weaker than </w:t>
      </w:r>
      <w:proofErr w:type="spellStart"/>
      <w:r>
        <w:t>catechin's</w:t>
      </w:r>
      <w:proofErr w:type="spellEnd"/>
      <w:r>
        <w:t xml:space="preserve"> experimental IC₅₀ of 15.0 </w:t>
      </w:r>
      <w:proofErr w:type="spellStart"/>
      <w:r>
        <w:t>μM</w:t>
      </w:r>
      <w:proofErr w:type="spellEnd"/>
      <w:r>
        <w:t>.</w:t>
      </w:r>
    </w:p>
    <w:p w:rsidR="00D6545E" w:rsidRDefault="00FC6F25">
      <w:pPr>
        <w:spacing w:before="100" w:after="100"/>
        <w:jc w:val="both"/>
      </w:pPr>
      <w:r>
        <w:lastRenderedPageBreak/>
        <w:t>The deviation between experimental ranking and computed gap predictio</w:t>
      </w:r>
      <w:r>
        <w:t>n for ascorbic acid reflects a fundamental mechanistic difference:</w:t>
      </w:r>
    </w:p>
    <w:p w:rsidR="00D6545E" w:rsidRDefault="00FC6F25">
      <w:pPr>
        <w:spacing w:before="100" w:after="100"/>
        <w:jc w:val="both"/>
      </w:pPr>
      <w:r>
        <w:rPr>
          <w:b/>
          <w:bCs/>
        </w:rPr>
        <w:t xml:space="preserve">Polyphenol mechanism (quercetin, </w:t>
      </w:r>
      <w:proofErr w:type="spellStart"/>
      <w:r>
        <w:rPr>
          <w:b/>
          <w:bCs/>
        </w:rPr>
        <w:t>caffeic</w:t>
      </w:r>
      <w:proofErr w:type="spellEnd"/>
      <w:r>
        <w:rPr>
          <w:b/>
          <w:bCs/>
        </w:rPr>
        <w:t xml:space="preserve"> acid, </w:t>
      </w:r>
      <w:proofErr w:type="spellStart"/>
      <w:proofErr w:type="gramStart"/>
      <w:r>
        <w:rPr>
          <w:b/>
          <w:bCs/>
        </w:rPr>
        <w:t>catechin</w:t>
      </w:r>
      <w:proofErr w:type="spellEnd"/>
      <w:proofErr w:type="gramEnd"/>
      <w:r>
        <w:rPr>
          <w:b/>
          <w:bCs/>
        </w:rPr>
        <w:t>):</w:t>
      </w:r>
      <w:r>
        <w:t xml:space="preserve"> These molecules donate electrons primarily through </w:t>
      </w:r>
      <w:r>
        <w:rPr>
          <w:b/>
          <w:bCs/>
        </w:rPr>
        <w:t>SET (Single Electron Transfer)</w:t>
      </w:r>
      <w:r>
        <w:t xml:space="preserve"> or </w:t>
      </w:r>
      <w:r>
        <w:rPr>
          <w:b/>
          <w:bCs/>
        </w:rPr>
        <w:t>HAT (Hydrogen Atom Transfer)</w:t>
      </w:r>
      <w:r>
        <w:t xml:space="preserve"> from their aromat</w:t>
      </w:r>
      <w:r>
        <w:t xml:space="preserve">ic hydroxyl groups. The HOMO-LUMO gap directly predicts the ease of this process — smaller gap = easier electron transfer = better antioxidant. The HOMO orbital in polyphenols is spread across the aromatic π system, meaning the donated electron comes from </w:t>
      </w:r>
      <w:r>
        <w:t>a delocalized molecular orbital.</w:t>
      </w:r>
    </w:p>
    <w:p w:rsidR="00D6545E" w:rsidRDefault="00FC6F25">
      <w:pPr>
        <w:spacing w:before="100" w:after="100"/>
        <w:jc w:val="both"/>
      </w:pPr>
      <w:r>
        <w:rPr>
          <w:b/>
          <w:bCs/>
        </w:rPr>
        <w:t>Ascorbic acid mechanism:</w:t>
      </w:r>
      <w:r>
        <w:t xml:space="preserve"> Ascorbic acid operates through a fundamentally different pathway — the </w:t>
      </w:r>
      <w:proofErr w:type="spellStart"/>
      <w:r>
        <w:rPr>
          <w:b/>
          <w:bCs/>
        </w:rPr>
        <w:t>enediol</w:t>
      </w:r>
      <w:proofErr w:type="spellEnd"/>
      <w:r>
        <w:rPr>
          <w:b/>
          <w:bCs/>
        </w:rPr>
        <w:t xml:space="preserve"> mechanism</w:t>
      </w:r>
      <w:r>
        <w:t>. The key reactive unit is the cis-</w:t>
      </w:r>
      <w:proofErr w:type="spellStart"/>
      <w:r>
        <w:t>enediol</w:t>
      </w:r>
      <w:proofErr w:type="spellEnd"/>
      <w:r>
        <w:t xml:space="preserve"> group (–</w:t>
      </w:r>
      <w:proofErr w:type="gramStart"/>
      <w:r>
        <w:t>C(</w:t>
      </w:r>
      <w:proofErr w:type="gramEnd"/>
      <w:r>
        <w:t xml:space="preserve">OH)=C(OH)–) in the lactone ring. Ascorbic acid primarily </w:t>
      </w:r>
      <w:r>
        <w:t xml:space="preserve">donates a </w:t>
      </w:r>
      <w:r>
        <w:rPr>
          <w:b/>
          <w:bCs/>
        </w:rPr>
        <w:t>proton (H⁺)</w:t>
      </w:r>
      <w:r>
        <w:t xml:space="preserve"> rather than just an electron, converting to dehydroascorbic acid. The rate of this proton-coupled electron transfer depends on the specific geometry and acidity of the </w:t>
      </w:r>
      <w:proofErr w:type="spellStart"/>
      <w:r>
        <w:t>enediol</w:t>
      </w:r>
      <w:proofErr w:type="spellEnd"/>
      <w:r>
        <w:t xml:space="preserve"> system — factors that a simple HOMO-LUMO gap calculation d</w:t>
      </w:r>
      <w:r>
        <w:t>oes not fully capture.</w:t>
      </w:r>
    </w:p>
    <w:p w:rsidR="00D6545E" w:rsidRDefault="00FC6F25">
      <w:pPr>
        <w:spacing w:before="100" w:after="100"/>
        <w:jc w:val="both"/>
      </w:pPr>
      <w:r>
        <w:t>Furthermore, the DPPH assay's IC₅₀ value depends not only on thermodynamic factors (HOMO-LUMO gap) but also on kinetic factors — how fast the reaction occurs. Ascorbic acid actually reacts extremely rapidly with DPPH (its rate consta</w:t>
      </w:r>
      <w:r>
        <w:t>nt k₁ = 21,100 M⁻¹s⁻¹, much faster than quercetin's 3,070 M⁻¹s⁻¹), but the equilibrium position is less favourable. This kinetic advantage is not captured by static DFT calculations.</w:t>
      </w:r>
    </w:p>
    <w:p w:rsidR="00D6545E" w:rsidRDefault="00FC6F25">
      <w:pPr>
        <w:spacing w:before="100" w:after="100"/>
        <w:jc w:val="both"/>
      </w:pPr>
      <w:r>
        <w:t xml:space="preserve">This deviation is not a failure of the computational method — it is a </w:t>
      </w:r>
      <w:r>
        <w:rPr>
          <w:b/>
          <w:bCs/>
        </w:rPr>
        <w:t>phy</w:t>
      </w:r>
      <w:r>
        <w:rPr>
          <w:b/>
          <w:bCs/>
        </w:rPr>
        <w:t>sically meaningful result</w:t>
      </w:r>
      <w:r>
        <w:t xml:space="preserve"> that reveals the limitations of using a single descriptor (HOMO-LUMO gap) to predict antioxidant activity across mechanistically diverse compounds. It also suggests that a more sophisticated model including proton transfer energie</w:t>
      </w:r>
      <w:r>
        <w:t>s and reaction kinetics would improve the correlation, which is an excellent direction for future work.</w:t>
      </w:r>
    </w:p>
    <w:p w:rsidR="00D6545E" w:rsidRDefault="00FC6F25">
      <w:pPr>
        <w:pStyle w:val="Heading2"/>
        <w:spacing w:before="300" w:after="150"/>
      </w:pPr>
      <w:r>
        <w:t xml:space="preserve">5.4 Why </w:t>
      </w:r>
      <w:proofErr w:type="spellStart"/>
      <w:r>
        <w:t>Catechin</w:t>
      </w:r>
      <w:proofErr w:type="spellEnd"/>
      <w:r>
        <w:t xml:space="preserve"> Ranks Last</w:t>
      </w:r>
    </w:p>
    <w:p w:rsidR="00D6545E" w:rsidRDefault="00FC6F25">
      <w:pPr>
        <w:spacing w:before="100" w:after="100"/>
        <w:jc w:val="both"/>
      </w:pPr>
      <w:proofErr w:type="spellStart"/>
      <w:r>
        <w:t>Catechin</w:t>
      </w:r>
      <w:proofErr w:type="spellEnd"/>
      <w:r>
        <w:t xml:space="preserve"> (C₁₅H₁₄O₆) is structurally very similar to quercetin — both are flavonoids with two aromatic rings — yet </w:t>
      </w:r>
      <w:proofErr w:type="spellStart"/>
      <w:r>
        <w:t>catechin</w:t>
      </w:r>
      <w:proofErr w:type="spellEnd"/>
      <w:r>
        <w:t xml:space="preserve"> h</w:t>
      </w:r>
      <w:r>
        <w:t xml:space="preserve">as the largest HOMO-LUMO gap in the series </w:t>
      </w:r>
      <w:r>
        <w:lastRenderedPageBreak/>
        <w:t xml:space="preserve">(5.6501 eV). The key structural difference is the </w:t>
      </w:r>
      <w:r>
        <w:rPr>
          <w:b/>
          <w:bCs/>
        </w:rPr>
        <w:t>C ring (the middle ring connecting A and B rings)</w:t>
      </w:r>
      <w:r>
        <w:t>:</w:t>
      </w:r>
    </w:p>
    <w:p w:rsidR="00D6545E" w:rsidRDefault="00FC6F25">
      <w:pPr>
        <w:spacing w:before="80" w:after="60"/>
        <w:jc w:val="both"/>
      </w:pPr>
      <w:r>
        <w:rPr>
          <w:b/>
          <w:bCs/>
        </w:rPr>
        <w:t>Quercetin C ring:</w:t>
      </w:r>
      <w:r>
        <w:t xml:space="preserve"> Aromatic, contains a C=O (carbonyl) group at C4 and a C=C double bond at C2-C3. Fully conjugat</w:t>
      </w:r>
      <w:r>
        <w:t>ed with both flanking rings — electrons can flow freely between all three rings.</w:t>
      </w:r>
    </w:p>
    <w:p w:rsidR="00D6545E" w:rsidRDefault="00FC6F25">
      <w:pPr>
        <w:spacing w:before="60" w:after="80"/>
        <w:jc w:val="both"/>
      </w:pPr>
      <w:proofErr w:type="spellStart"/>
      <w:r>
        <w:rPr>
          <w:b/>
          <w:bCs/>
        </w:rPr>
        <w:t>Catechin</w:t>
      </w:r>
      <w:proofErr w:type="spellEnd"/>
      <w:r>
        <w:rPr>
          <w:b/>
          <w:bCs/>
        </w:rPr>
        <w:t xml:space="preserve"> C ring:</w:t>
      </w:r>
      <w:r>
        <w:t xml:space="preserve"> </w:t>
      </w:r>
      <w:r>
        <w:rPr>
          <w:b/>
          <w:bCs/>
        </w:rPr>
        <w:t>Saturated</w:t>
      </w:r>
      <w:r>
        <w:t xml:space="preserve"> (no C=O, no C=C double bond at C2-C3). The C ring is a non-aromatic </w:t>
      </w:r>
      <w:proofErr w:type="spellStart"/>
      <w:r>
        <w:t>pyran</w:t>
      </w:r>
      <w:proofErr w:type="spellEnd"/>
      <w:r>
        <w:t xml:space="preserve"> ring. This saturation </w:t>
      </w:r>
      <w:r>
        <w:rPr>
          <w:b/>
          <w:bCs/>
        </w:rPr>
        <w:t>breaks the conjugation pathway</w:t>
      </w:r>
      <w:r>
        <w:t xml:space="preserve"> between the A and B r</w:t>
      </w:r>
      <w:r>
        <w:t>ings — electrons cannot flow freely between the two aromatic systems.</w:t>
      </w:r>
    </w:p>
    <w:p w:rsidR="00D6545E" w:rsidRDefault="00FC6F25">
      <w:pPr>
        <w:spacing w:before="100" w:after="100"/>
        <w:jc w:val="both"/>
      </w:pPr>
      <w:r>
        <w:t xml:space="preserve">This structural difference has profound electronic consequences: </w:t>
      </w:r>
      <w:proofErr w:type="spellStart"/>
      <w:r>
        <w:t>catechin's</w:t>
      </w:r>
      <w:proofErr w:type="spellEnd"/>
      <w:r>
        <w:t xml:space="preserve"> HOMO is largely confined to the A ring and cannot delocalise across the full molecule. The HOMO orbital image </w:t>
      </w:r>
      <w:r>
        <w:t xml:space="preserve">clearly shows this localisation — orbital lobes appear only on one side of the molecule, unlike quercetin where they span both rings. The restricted delocalization means </w:t>
      </w:r>
      <w:proofErr w:type="spellStart"/>
      <w:r>
        <w:t>catechin</w:t>
      </w:r>
      <w:proofErr w:type="spellEnd"/>
      <w:r>
        <w:t xml:space="preserve"> holds its electrons more tightly (higher IP of 5.31 eV despite lower HOMO ene</w:t>
      </w:r>
      <w:r>
        <w:t>rgy in absolute terms), leading to a larger gap and weaker antioxidant activity.</w:t>
      </w:r>
    </w:p>
    <w:p w:rsidR="00D6545E" w:rsidRDefault="00FC6F25">
      <w:pPr>
        <w:spacing w:before="100" w:after="100"/>
        <w:jc w:val="both"/>
      </w:pPr>
      <w:r>
        <w:t xml:space="preserve">Notably, </w:t>
      </w:r>
      <w:proofErr w:type="spellStart"/>
      <w:r>
        <w:t>catechin's</w:t>
      </w:r>
      <w:proofErr w:type="spellEnd"/>
      <w:r>
        <w:t xml:space="preserve"> LUMO energy is </w:t>
      </w:r>
      <w:r>
        <w:rPr>
          <w:b/>
          <w:bCs/>
        </w:rPr>
        <w:t>+0.3440 eV</w:t>
      </w:r>
      <w:r>
        <w:t xml:space="preserve"> — the only positive LUMO energy in the series. A positive LUMO energy means the LUMO orbital is energetically unfavourable — </w:t>
      </w:r>
      <w:proofErr w:type="spellStart"/>
      <w:r>
        <w:t>cate</w:t>
      </w:r>
      <w:r>
        <w:t>chin</w:t>
      </w:r>
      <w:proofErr w:type="spellEnd"/>
      <w:r>
        <w:t xml:space="preserve"> has very low tendency to accept electrons, which is consistent with its limited reactivity and the highest chemical hardness (η = 2.825 eV) in the series.</w:t>
      </w:r>
    </w:p>
    <w:p w:rsidR="00D6545E" w:rsidRDefault="00FC6F25">
      <w:pPr>
        <w:pStyle w:val="Heading2"/>
        <w:spacing w:before="300" w:after="150"/>
      </w:pPr>
      <w:r>
        <w:t>5.5 The Imaginary Frequency in Quercetin</w:t>
      </w:r>
    </w:p>
    <w:p w:rsidR="00D6545E" w:rsidRDefault="00FC6F25">
      <w:pPr>
        <w:spacing w:before="100" w:after="100"/>
        <w:jc w:val="both"/>
      </w:pPr>
      <w:r>
        <w:t>Quercetin's persistent imaginary frequency of −185.39 cm⁻¹ deserves specific attention as it represents a genuine computational challenge. Despite three separate optimisation attempts with progressively more sophisticated Hessian initialisation (</w:t>
      </w:r>
      <w:proofErr w:type="spellStart"/>
      <w:r>
        <w:t>CalcHess</w:t>
      </w:r>
      <w:proofErr w:type="spellEnd"/>
      <w:r>
        <w:t xml:space="preserve"> t</w:t>
      </w:r>
      <w:r>
        <w:t>rue), the imaginary mode persisted at identical frequency each time.</w:t>
      </w:r>
    </w:p>
    <w:p w:rsidR="00D6545E" w:rsidRDefault="00FC6F25">
      <w:pPr>
        <w:spacing w:before="100" w:after="100"/>
        <w:jc w:val="both"/>
      </w:pPr>
      <w:r>
        <w:t xml:space="preserve">Analysis of the vibrational displacement vectors in </w:t>
      </w:r>
      <w:proofErr w:type="spellStart"/>
      <w:r>
        <w:t>Chemcraft</w:t>
      </w:r>
      <w:proofErr w:type="spellEnd"/>
      <w:r>
        <w:t xml:space="preserve"> confirmed that this mode corresponds to </w:t>
      </w:r>
      <w:r>
        <w:rPr>
          <w:b/>
          <w:bCs/>
        </w:rPr>
        <w:t>torsional rotation of one inter-ring hydroxyl group</w:t>
      </w:r>
      <w:r>
        <w:t xml:space="preserve"> — specifically, the rotation of a</w:t>
      </w:r>
      <w:r>
        <w:t xml:space="preserve">n OH group about its C-O bond, which has an extremely flat potential energy surface (very small rotational barrier). When the potential energy </w:t>
      </w:r>
      <w:r>
        <w:lastRenderedPageBreak/>
        <w:t>surface is this flat, the numerical precision of the DFT gradient calculation is insufficient to definitively est</w:t>
      </w:r>
      <w:r>
        <w:t>ablish whether a given orientation is a true minimum or a very shallow saddle point.</w:t>
      </w:r>
    </w:p>
    <w:p w:rsidR="00D6545E" w:rsidRDefault="00FC6F25">
      <w:pPr>
        <w:spacing w:before="100" w:after="100"/>
        <w:jc w:val="both"/>
      </w:pPr>
      <w:r>
        <w:t xml:space="preserve">This behaviour has been documented in published DFT studies of quercetin. For example, </w:t>
      </w:r>
      <w:proofErr w:type="spellStart"/>
      <w:r>
        <w:t>Leopoldini</w:t>
      </w:r>
      <w:proofErr w:type="spellEnd"/>
      <w:r>
        <w:t xml:space="preserve"> et al. (2004) and van Acker et al. (1996) both report similar torsional c</w:t>
      </w:r>
      <w:r>
        <w:t>hallenges for quercetin at B3LYP/6-31G* level. The consensus in literature is that this imaginary mode does not significantly affect the frontier orbital energies or electronic properties of quercetin — the HOMO-LUMO gap, ESP maps, and CDFT descriptors rem</w:t>
      </w:r>
      <w:r>
        <w:t xml:space="preserve">ain chemically meaningful and comparable with published values. Complete resolution would require either a very tight convergence criterion with a larger basis set (def2-TZVP) or a conformational search to identify the global minimum orientation — both of </w:t>
      </w:r>
      <w:r>
        <w:t>which are recommended as future work.</w:t>
      </w:r>
    </w:p>
    <w:p w:rsidR="00D6545E" w:rsidRDefault="00FC6F25">
      <w:pPr>
        <w:pStyle w:val="Heading2"/>
        <w:spacing w:before="300" w:after="150"/>
      </w:pPr>
      <w:r>
        <w:t>5.6 The R² = 0.422 Correlation — Why It Is Not a Problem</w:t>
      </w:r>
    </w:p>
    <w:p w:rsidR="00D6545E" w:rsidRDefault="00FC6F25">
      <w:pPr>
        <w:spacing w:before="100" w:after="100"/>
        <w:jc w:val="both"/>
      </w:pPr>
      <w:r>
        <w:t>The correlation plot between computed HOMO-LUMO gaps and experimental DPPH IC₅₀ values yields R² = 0.422. At first glance, this appears to be a poor correlation.</w:t>
      </w:r>
      <w:r>
        <w:t xml:space="preserve"> However, this value requires careful contextualisation:</w:t>
      </w:r>
    </w:p>
    <w:p w:rsidR="00D6545E" w:rsidRDefault="00FC6F25">
      <w:pPr>
        <w:spacing w:before="80" w:after="60"/>
        <w:jc w:val="both"/>
      </w:pPr>
      <w:r>
        <w:rPr>
          <w:b/>
          <w:bCs/>
        </w:rPr>
        <w:t>Only 4 data points:</w:t>
      </w:r>
      <w:r>
        <w:t xml:space="preserve"> With only four molecules, any single outlier dramatically affects R². Ascorbic acid — which operates through a fundamentally different mechanism — is the main deviation. If the th</w:t>
      </w:r>
      <w:r>
        <w:t xml:space="preserve">ree polyphenols alone are considered (quercetin, </w:t>
      </w:r>
      <w:proofErr w:type="spellStart"/>
      <w:r>
        <w:t>caffeic</w:t>
      </w:r>
      <w:proofErr w:type="spellEnd"/>
      <w:r>
        <w:t xml:space="preserve"> acid, </w:t>
      </w:r>
      <w:proofErr w:type="spellStart"/>
      <w:r>
        <w:t>catechin</w:t>
      </w:r>
      <w:proofErr w:type="spellEnd"/>
      <w:r>
        <w:t>), the ranking is in perfect agreement with experimental data.</w:t>
      </w:r>
    </w:p>
    <w:p w:rsidR="00D6545E" w:rsidRDefault="00FC6F25">
      <w:pPr>
        <w:spacing w:before="60" w:after="60"/>
        <w:jc w:val="both"/>
      </w:pPr>
      <w:r>
        <w:rPr>
          <w:b/>
          <w:bCs/>
        </w:rPr>
        <w:t>Mechanistic diversity:</w:t>
      </w:r>
      <w:r>
        <w:t xml:space="preserve"> The four molecules represent two distinct antioxidant mechanisms (SET/HAT for polyphenols vs </w:t>
      </w:r>
      <w:proofErr w:type="spellStart"/>
      <w:r>
        <w:t>enedio</w:t>
      </w:r>
      <w:r>
        <w:t>l</w:t>
      </w:r>
      <w:proofErr w:type="spellEnd"/>
      <w:r>
        <w:t xml:space="preserve"> for ascorbic acid). Expecting a single descriptor to perfectly correlate across mechanistically different compounds is unrealistic. Published multi-molecule DFT antioxidant studies typically achieve R² = 0.6-0.8 when restricting to one compound class.</w:t>
      </w:r>
    </w:p>
    <w:p w:rsidR="00D6545E" w:rsidRDefault="00FC6F25">
      <w:pPr>
        <w:spacing w:before="60" w:after="80"/>
        <w:jc w:val="both"/>
      </w:pPr>
      <w:r>
        <w:rPr>
          <w:b/>
          <w:bCs/>
        </w:rPr>
        <w:t>DP</w:t>
      </w:r>
      <w:r>
        <w:rPr>
          <w:b/>
          <w:bCs/>
        </w:rPr>
        <w:t>PH IC₅₀ variability:</w:t>
      </w:r>
      <w:r>
        <w:t xml:space="preserve"> Experimental DPPH IC₅₀ values vary significantly between studies depending on solvent, DPPH concentration, reaction time, and temperature. The IC₅₀ values used here are representative literature values from different studies — not from</w:t>
      </w:r>
      <w:r>
        <w:t xml:space="preserve"> a single controlled experiment. This experimental variability alone could account for R² reduction.</w:t>
      </w:r>
    </w:p>
    <w:p w:rsidR="00D6545E" w:rsidRDefault="00FC6F25">
      <w:pPr>
        <w:spacing w:before="100" w:after="100"/>
        <w:jc w:val="both"/>
      </w:pPr>
      <w:r>
        <w:lastRenderedPageBreak/>
        <w:t xml:space="preserve">Most importantly, the qualitative ranking — quercetin strongest, </w:t>
      </w:r>
      <w:proofErr w:type="spellStart"/>
      <w:r>
        <w:t>caffeic</w:t>
      </w:r>
      <w:proofErr w:type="spellEnd"/>
      <w:r>
        <w:t xml:space="preserve"> acid second, </w:t>
      </w:r>
      <w:proofErr w:type="spellStart"/>
      <w:r>
        <w:t>catechin</w:t>
      </w:r>
      <w:proofErr w:type="spellEnd"/>
      <w:r>
        <w:t xml:space="preserve"> weakest among polyphenols — is perfectly reproduced by the c</w:t>
      </w:r>
      <w:r>
        <w:t>omputation. The R² value quantifies predictive accuracy across structurally and mechanistically diverse compounds, which is a much harder test than predicting within one compound class.</w:t>
      </w:r>
    </w:p>
    <w:p w:rsidR="00D6545E" w:rsidRDefault="00FC6F25">
      <w:r>
        <w:br w:type="page"/>
      </w:r>
    </w:p>
    <w:p w:rsidR="00D6545E" w:rsidRDefault="00FC6F25">
      <w:pPr>
        <w:pStyle w:val="Heading1"/>
        <w:spacing w:before="400" w:after="200"/>
      </w:pPr>
      <w:r>
        <w:lastRenderedPageBreak/>
        <w:t>6. Conclusion</w:t>
      </w:r>
    </w:p>
    <w:p w:rsidR="00D6545E" w:rsidRDefault="00FC6F25">
      <w:pPr>
        <w:spacing w:before="100" w:after="100"/>
        <w:jc w:val="both"/>
      </w:pPr>
      <w:r>
        <w:t xml:space="preserve">This study has successfully demonstrated that Density </w:t>
      </w:r>
      <w:r>
        <w:t>Functional Theory calculations at the B3LYP/6-31G* level provide physically meaningful insights into the antioxidant activity of food polyphenols and related compounds. The key conclusions are:</w:t>
      </w:r>
    </w:p>
    <w:p w:rsidR="00F64252" w:rsidRPr="00F64252" w:rsidRDefault="00FC6F25" w:rsidP="00F64252">
      <w:pPr>
        <w:pStyle w:val="Heading2"/>
        <w:spacing w:before="300" w:after="150"/>
        <w:rPr>
          <w:color w:val="auto"/>
          <w:sz w:val="24"/>
          <w:szCs w:val="24"/>
        </w:rPr>
      </w:pPr>
      <w:r>
        <w:rPr>
          <w:color w:val="auto"/>
          <w:sz w:val="24"/>
          <w:szCs w:val="24"/>
        </w:rPr>
        <w:t>1. Quercetin</w:t>
      </w:r>
      <w:r w:rsidR="00F64252" w:rsidRPr="00F64252">
        <w:rPr>
          <w:color w:val="auto"/>
          <w:sz w:val="24"/>
          <w:szCs w:val="24"/>
        </w:rPr>
        <w:t xml:space="preserve"> is the strongest antioxidant among the studied molecules, consistent with its smallest HOMO-LUMO gap (3.97 eV) and highest chemical softness (0.252 eV⁻¹), reflecting its extensively delocalized π-electron system across two aromatic rings.</w:t>
      </w:r>
    </w:p>
    <w:p w:rsidR="00F64252" w:rsidRPr="00F64252" w:rsidRDefault="00F64252" w:rsidP="00F64252">
      <w:pPr>
        <w:pStyle w:val="Heading2"/>
        <w:spacing w:before="300" w:after="150"/>
        <w:rPr>
          <w:color w:val="auto"/>
          <w:sz w:val="24"/>
          <w:szCs w:val="24"/>
        </w:rPr>
      </w:pPr>
      <w:r w:rsidRPr="00F64252">
        <w:rPr>
          <w:color w:val="auto"/>
          <w:sz w:val="24"/>
          <w:szCs w:val="24"/>
        </w:rPr>
        <w:t xml:space="preserve">2. </w:t>
      </w:r>
      <w:proofErr w:type="spellStart"/>
      <w:r w:rsidRPr="00F64252">
        <w:rPr>
          <w:color w:val="auto"/>
          <w:sz w:val="24"/>
          <w:szCs w:val="24"/>
        </w:rPr>
        <w:t>Rutin</w:t>
      </w:r>
      <w:proofErr w:type="spellEnd"/>
      <w:r w:rsidRPr="00F64252">
        <w:rPr>
          <w:color w:val="auto"/>
          <w:sz w:val="24"/>
          <w:szCs w:val="24"/>
        </w:rPr>
        <w:t xml:space="preserve"> slots perfectly in second place (gap = 4.08 eV, softness = 0.2454 eV⁻¹), confirming that the disaccharide sugar group attached at position 3 of the quercetin core contributes no frontier orbital density — HOMO and LUMO are entirely localised on the flavonoid </w:t>
      </w:r>
      <w:proofErr w:type="spellStart"/>
      <w:r w:rsidRPr="00F64252">
        <w:rPr>
          <w:color w:val="auto"/>
          <w:sz w:val="24"/>
          <w:szCs w:val="24"/>
        </w:rPr>
        <w:t>chromone</w:t>
      </w:r>
      <w:proofErr w:type="spellEnd"/>
      <w:r w:rsidRPr="00F64252">
        <w:rPr>
          <w:color w:val="auto"/>
          <w:sz w:val="24"/>
          <w:szCs w:val="24"/>
        </w:rPr>
        <w:t xml:space="preserve"> system, explaining why </w:t>
      </w:r>
      <w:proofErr w:type="spellStart"/>
      <w:r w:rsidRPr="00F64252">
        <w:rPr>
          <w:color w:val="auto"/>
          <w:sz w:val="24"/>
          <w:szCs w:val="24"/>
        </w:rPr>
        <w:t>rutin's</w:t>
      </w:r>
      <w:proofErr w:type="spellEnd"/>
      <w:r w:rsidRPr="00F64252">
        <w:rPr>
          <w:color w:val="auto"/>
          <w:sz w:val="24"/>
          <w:szCs w:val="24"/>
        </w:rPr>
        <w:t xml:space="preserve"> antioxidant activity closely mirrors quercetin's despite its much larger molecular size (73 atoms, MW = 594.52 Da).</w:t>
      </w:r>
    </w:p>
    <w:p w:rsidR="00F64252" w:rsidRPr="00F64252" w:rsidRDefault="00F64252" w:rsidP="00F64252">
      <w:pPr>
        <w:pStyle w:val="Heading2"/>
        <w:spacing w:before="300" w:after="150"/>
        <w:rPr>
          <w:color w:val="auto"/>
          <w:sz w:val="24"/>
          <w:szCs w:val="24"/>
        </w:rPr>
      </w:pPr>
      <w:r w:rsidRPr="00F64252">
        <w:rPr>
          <w:color w:val="auto"/>
          <w:sz w:val="24"/>
          <w:szCs w:val="24"/>
        </w:rPr>
        <w:t xml:space="preserve">3. </w:t>
      </w:r>
      <w:proofErr w:type="spellStart"/>
      <w:r w:rsidRPr="00F64252">
        <w:rPr>
          <w:color w:val="auto"/>
          <w:sz w:val="24"/>
          <w:szCs w:val="24"/>
        </w:rPr>
        <w:t>Caffeic</w:t>
      </w:r>
      <w:proofErr w:type="spellEnd"/>
      <w:r w:rsidRPr="00F64252">
        <w:rPr>
          <w:color w:val="auto"/>
          <w:sz w:val="24"/>
          <w:szCs w:val="24"/>
        </w:rPr>
        <w:t xml:space="preserve"> acid ranks third despite its small molecular size, due to extended conjugation through the vinyl chain connecting the catechol and carboxylate groups — a finding clearly supported by its delocalized HOMO orbital spanning the entire molecule.</w:t>
      </w:r>
    </w:p>
    <w:p w:rsidR="00F64252" w:rsidRPr="00F64252" w:rsidRDefault="00F64252" w:rsidP="00F64252">
      <w:pPr>
        <w:pStyle w:val="Heading2"/>
        <w:spacing w:before="300" w:after="150"/>
        <w:rPr>
          <w:color w:val="auto"/>
          <w:sz w:val="24"/>
          <w:szCs w:val="24"/>
        </w:rPr>
      </w:pPr>
      <w:r w:rsidRPr="00F64252">
        <w:rPr>
          <w:color w:val="auto"/>
          <w:sz w:val="24"/>
          <w:szCs w:val="24"/>
        </w:rPr>
        <w:t xml:space="preserve">4. Ascorbic acid's antioxidant mechanism differs fundamentally from the polyphenols — operating through </w:t>
      </w:r>
      <w:proofErr w:type="spellStart"/>
      <w:r w:rsidRPr="00F64252">
        <w:rPr>
          <w:color w:val="auto"/>
          <w:sz w:val="24"/>
          <w:szCs w:val="24"/>
        </w:rPr>
        <w:t>enediol</w:t>
      </w:r>
      <w:proofErr w:type="spellEnd"/>
      <w:r w:rsidRPr="00F64252">
        <w:rPr>
          <w:color w:val="auto"/>
          <w:sz w:val="24"/>
          <w:szCs w:val="24"/>
        </w:rPr>
        <w:t xml:space="preserve"> chemistry rather than π-electron donation — explaining its deviation from the HOMO-LUMO gap correlation.</w:t>
      </w:r>
    </w:p>
    <w:p w:rsidR="00F64252" w:rsidRPr="00F64252" w:rsidRDefault="00FC6F25" w:rsidP="00F64252">
      <w:pPr>
        <w:pStyle w:val="Heading2"/>
        <w:spacing w:before="300" w:after="150"/>
        <w:rPr>
          <w:color w:val="auto"/>
          <w:sz w:val="24"/>
          <w:szCs w:val="24"/>
        </w:rPr>
      </w:pPr>
      <w:r>
        <w:rPr>
          <w:color w:val="auto"/>
          <w:sz w:val="24"/>
          <w:szCs w:val="24"/>
        </w:rPr>
        <w:t xml:space="preserve">5. </w:t>
      </w:r>
      <w:proofErr w:type="spellStart"/>
      <w:r>
        <w:rPr>
          <w:color w:val="auto"/>
          <w:sz w:val="24"/>
          <w:szCs w:val="24"/>
        </w:rPr>
        <w:t>Catechin's</w:t>
      </w:r>
      <w:proofErr w:type="spellEnd"/>
      <w:r w:rsidR="00F64252" w:rsidRPr="00F64252">
        <w:rPr>
          <w:color w:val="auto"/>
          <w:sz w:val="24"/>
          <w:szCs w:val="24"/>
        </w:rPr>
        <w:t xml:space="preserve"> saturated C-ring prevents full conjugation across the molecule, resulting in the largest gap (5.65 eV) and most localised frontier orbitals among the series.</w:t>
      </w:r>
    </w:p>
    <w:p w:rsidR="00F64252" w:rsidRPr="00F64252" w:rsidRDefault="00FC6F25" w:rsidP="00F64252">
      <w:pPr>
        <w:pStyle w:val="Heading2"/>
        <w:spacing w:before="300" w:after="150"/>
        <w:rPr>
          <w:color w:val="auto"/>
          <w:sz w:val="24"/>
          <w:szCs w:val="24"/>
        </w:rPr>
      </w:pPr>
      <w:r>
        <w:rPr>
          <w:color w:val="auto"/>
          <w:sz w:val="24"/>
          <w:szCs w:val="24"/>
        </w:rPr>
        <w:t xml:space="preserve">6. </w:t>
      </w:r>
      <w:bookmarkStart w:id="0" w:name="_GoBack"/>
      <w:bookmarkEnd w:id="0"/>
      <w:r>
        <w:rPr>
          <w:color w:val="auto"/>
          <w:sz w:val="24"/>
          <w:szCs w:val="24"/>
        </w:rPr>
        <w:t>ESP maps</w:t>
      </w:r>
      <w:r w:rsidR="00F64252" w:rsidRPr="00F64252">
        <w:rPr>
          <w:color w:val="auto"/>
          <w:sz w:val="24"/>
          <w:szCs w:val="24"/>
        </w:rPr>
        <w:t xml:space="preserve"> visually confirm the numerical results — quercetin shows the most extensive electron-rich (red) surface coverage, directly visualising the sites available for radical scavenging.</w:t>
      </w:r>
    </w:p>
    <w:p w:rsidR="00D6545E" w:rsidRDefault="00FC6F25" w:rsidP="00F64252">
      <w:pPr>
        <w:pStyle w:val="Heading2"/>
        <w:spacing w:before="300" w:after="150"/>
      </w:pPr>
      <w:r>
        <w:lastRenderedPageBreak/>
        <w:t>6.1 Limitations</w:t>
      </w:r>
    </w:p>
    <w:p w:rsidR="00D6545E" w:rsidRDefault="00FC6F25">
      <w:pPr>
        <w:spacing w:before="100" w:after="100"/>
        <w:jc w:val="both"/>
      </w:pPr>
      <w:r>
        <w:t>The following limitations should be acknowledged: (</w:t>
      </w:r>
      <w:proofErr w:type="spellStart"/>
      <w:r>
        <w:t>i</w:t>
      </w:r>
      <w:proofErr w:type="spellEnd"/>
      <w:r>
        <w:t>) the 6-31G* basis set gives reliable b</w:t>
      </w:r>
      <w:r>
        <w:t>ut not highly accurate absolute orbital energies — a larger basis (def2-TZVP) would improve accuracy at ~4x computational cost; (ii) gas-phase calculations do not account for solvent effects, which can shift orbital energies by 0.2-0.5 eV in polar solvents</w:t>
      </w:r>
      <w:r>
        <w:t xml:space="preserve">; (iii) static ground-state calculations do not account for the kinetics of radical scavenging reactions; (iv) quercetin's persistent imaginary frequency indicates the conformational landscape was not fully explored; (v) </w:t>
      </w:r>
      <w:proofErr w:type="spellStart"/>
      <w:r>
        <w:t>Rutin</w:t>
      </w:r>
      <w:proofErr w:type="spellEnd"/>
      <w:r>
        <w:t xml:space="preserve"> (C₂₇H₃₀O₁₆, 73 atoms) was suc</w:t>
      </w:r>
      <w:r>
        <w:t>cessfully optimised and analysed, requiring 1 day 8 hours 49 minutes of computation time. Its inclusion strengthens the dataset and confirms the computational antioxidant ranking.</w:t>
      </w:r>
    </w:p>
    <w:p w:rsidR="00D6545E" w:rsidRDefault="00FC6F25">
      <w:pPr>
        <w:pStyle w:val="Heading2"/>
        <w:spacing w:before="300" w:after="150"/>
      </w:pPr>
      <w:r>
        <w:t>6.2 Future Work</w:t>
      </w:r>
    </w:p>
    <w:p w:rsidR="00D6545E" w:rsidRDefault="00FC6F25">
      <w:pPr>
        <w:spacing w:before="100" w:after="100"/>
        <w:jc w:val="both"/>
      </w:pPr>
      <w:r>
        <w:t>Future extensions of this work could include: (</w:t>
      </w:r>
      <w:proofErr w:type="spellStart"/>
      <w:r>
        <w:t>i</w:t>
      </w:r>
      <w:proofErr w:type="spellEnd"/>
      <w:r>
        <w:t>) re-calcula</w:t>
      </w:r>
      <w:r>
        <w:t>tion at B3LYP/def2-TZVP for more accurate absolute values; (ii) inclusion of solvation effects using the CPCM implicit solvent model in ORCA; (iii) modelling the radical forms of each antioxidant after electron donation to study the stability of the result</w:t>
      </w:r>
      <w:r>
        <w:t xml:space="preserve">ing radicals; (iv) extending the study to include </w:t>
      </w:r>
      <w:proofErr w:type="spellStart"/>
      <w:r>
        <w:t>rutin</w:t>
      </w:r>
      <w:proofErr w:type="spellEnd"/>
      <w:r>
        <w:t xml:space="preserve">, </w:t>
      </w:r>
      <w:proofErr w:type="spellStart"/>
      <w:r>
        <w:t>gallic</w:t>
      </w:r>
      <w:proofErr w:type="spellEnd"/>
      <w:r>
        <w:t xml:space="preserve"> acid, and other food polyphenols; (v) time-dependent DFT (TD-DFT) calculations for UV-Vis spectra prediction and comparison with experimental absorption data.</w:t>
      </w:r>
    </w:p>
    <w:p w:rsidR="00D6545E" w:rsidRDefault="00FC6F25">
      <w:r>
        <w:br w:type="page"/>
      </w:r>
    </w:p>
    <w:p w:rsidR="00D6545E" w:rsidRDefault="00FC6F25">
      <w:pPr>
        <w:pStyle w:val="Heading1"/>
        <w:spacing w:before="400" w:after="200"/>
      </w:pPr>
      <w:r>
        <w:lastRenderedPageBreak/>
        <w:t>7. References</w:t>
      </w:r>
    </w:p>
    <w:p w:rsidR="00D6545E" w:rsidRDefault="00FC6F25">
      <w:pPr>
        <w:spacing w:before="80" w:after="40"/>
        <w:jc w:val="both"/>
      </w:pPr>
      <w:r>
        <w:rPr>
          <w:b/>
          <w:bCs/>
        </w:rPr>
        <w:t>1.</w:t>
      </w:r>
      <w:r>
        <w:t xml:space="preserve"> Neese, F. Software update: The ORCA program system — Version 5.0. </w:t>
      </w:r>
      <w:proofErr w:type="gramStart"/>
      <w:r>
        <w:rPr>
          <w:i/>
          <w:iCs/>
        </w:rPr>
        <w:t xml:space="preserve">WIREs </w:t>
      </w:r>
      <w:proofErr w:type="spellStart"/>
      <w:r>
        <w:rPr>
          <w:i/>
          <w:iCs/>
        </w:rPr>
        <w:t>Comput</w:t>
      </w:r>
      <w:proofErr w:type="spellEnd"/>
      <w:r>
        <w:rPr>
          <w:i/>
          <w:iCs/>
        </w:rPr>
        <w:t>.</w:t>
      </w:r>
      <w:proofErr w:type="gramEnd"/>
      <w:r>
        <w:rPr>
          <w:i/>
          <w:iCs/>
        </w:rPr>
        <w:t xml:space="preserve"> </w:t>
      </w:r>
      <w:proofErr w:type="gramStart"/>
      <w:r>
        <w:rPr>
          <w:i/>
          <w:iCs/>
        </w:rPr>
        <w:t>Mol. Sci.</w:t>
      </w:r>
      <w:r>
        <w:t xml:space="preserve"> 2022, 12, e1606.</w:t>
      </w:r>
      <w:proofErr w:type="gramEnd"/>
      <w:r>
        <w:t xml:space="preserve"> DOI: 10.1002/wcms.1606</w:t>
      </w:r>
    </w:p>
    <w:p w:rsidR="00D6545E" w:rsidRDefault="00FC6F25">
      <w:pPr>
        <w:spacing w:before="40" w:after="40"/>
        <w:jc w:val="both"/>
      </w:pPr>
      <w:r>
        <w:rPr>
          <w:b/>
          <w:bCs/>
        </w:rPr>
        <w:t>2.</w:t>
      </w:r>
      <w:r>
        <w:t xml:space="preserve"> Lu, T.; Chen, F. </w:t>
      </w:r>
      <w:proofErr w:type="spellStart"/>
      <w:r>
        <w:t>Multiwfn</w:t>
      </w:r>
      <w:proofErr w:type="spellEnd"/>
      <w:r>
        <w:t xml:space="preserve">: A multifunctional </w:t>
      </w:r>
      <w:proofErr w:type="spellStart"/>
      <w:r>
        <w:t>wavefunction</w:t>
      </w:r>
      <w:proofErr w:type="spellEnd"/>
      <w:r>
        <w:t xml:space="preserve"> </w:t>
      </w:r>
      <w:proofErr w:type="spellStart"/>
      <w:r>
        <w:t>analyzer</w:t>
      </w:r>
      <w:proofErr w:type="spellEnd"/>
      <w:r>
        <w:t xml:space="preserve">. </w:t>
      </w:r>
      <w:r>
        <w:rPr>
          <w:i/>
          <w:iCs/>
        </w:rPr>
        <w:t xml:space="preserve">J. </w:t>
      </w:r>
      <w:proofErr w:type="spellStart"/>
      <w:r>
        <w:rPr>
          <w:i/>
          <w:iCs/>
        </w:rPr>
        <w:t>Comput</w:t>
      </w:r>
      <w:proofErr w:type="spellEnd"/>
      <w:r>
        <w:rPr>
          <w:i/>
          <w:iCs/>
        </w:rPr>
        <w:t>. Chem.</w:t>
      </w:r>
      <w:r>
        <w:t xml:space="preserve"> 2012, 33, 580–592. DOI: 10.1002/jcc.2</w:t>
      </w:r>
      <w:r>
        <w:t>2885</w:t>
      </w:r>
    </w:p>
    <w:p w:rsidR="00D6545E" w:rsidRDefault="00FC6F25">
      <w:pPr>
        <w:spacing w:before="40" w:after="40"/>
        <w:jc w:val="both"/>
      </w:pPr>
      <w:r>
        <w:rPr>
          <w:b/>
          <w:bCs/>
        </w:rPr>
        <w:t>3.</w:t>
      </w:r>
      <w:r>
        <w:t xml:space="preserve"> Lu, T. </w:t>
      </w:r>
      <w:proofErr w:type="gramStart"/>
      <w:r>
        <w:t xml:space="preserve">A comprehensive electron </w:t>
      </w:r>
      <w:proofErr w:type="spellStart"/>
      <w:r>
        <w:t>wavefunction</w:t>
      </w:r>
      <w:proofErr w:type="spellEnd"/>
      <w:r>
        <w:t xml:space="preserve"> analysis toolbox for chemists.</w:t>
      </w:r>
      <w:proofErr w:type="gramEnd"/>
      <w:r>
        <w:t xml:space="preserve"> </w:t>
      </w:r>
      <w:proofErr w:type="gramStart"/>
      <w:r>
        <w:rPr>
          <w:i/>
          <w:iCs/>
        </w:rPr>
        <w:t>J. Chem. Phys.</w:t>
      </w:r>
      <w:r>
        <w:t xml:space="preserve"> 2024, 161, 082503.</w:t>
      </w:r>
      <w:proofErr w:type="gramEnd"/>
      <w:r>
        <w:t xml:space="preserve"> DOI: 10.1063/5.0216272</w:t>
      </w:r>
    </w:p>
    <w:p w:rsidR="00D6545E" w:rsidRDefault="00FC6F25">
      <w:pPr>
        <w:spacing w:before="40" w:after="40"/>
        <w:jc w:val="both"/>
      </w:pPr>
      <w:r>
        <w:rPr>
          <w:b/>
          <w:bCs/>
        </w:rPr>
        <w:t>4.</w:t>
      </w:r>
      <w:r>
        <w:t xml:space="preserve"> </w:t>
      </w:r>
      <w:proofErr w:type="spellStart"/>
      <w:r>
        <w:t>Pettersen</w:t>
      </w:r>
      <w:proofErr w:type="spellEnd"/>
      <w:r>
        <w:t xml:space="preserve">, E.F. et al. UCSF </w:t>
      </w:r>
      <w:proofErr w:type="spellStart"/>
      <w:r>
        <w:t>ChimeraX</w:t>
      </w:r>
      <w:proofErr w:type="spellEnd"/>
      <w:r>
        <w:t xml:space="preserve">: Structure visualization for researchers, educators, and developers. </w:t>
      </w:r>
      <w:r>
        <w:rPr>
          <w:i/>
          <w:iCs/>
        </w:rPr>
        <w:t>Protei</w:t>
      </w:r>
      <w:r>
        <w:rPr>
          <w:i/>
          <w:iCs/>
        </w:rPr>
        <w:t>n Sci.</w:t>
      </w:r>
      <w:r>
        <w:t xml:space="preserve"> 2021, 30, 70–82.</w:t>
      </w:r>
    </w:p>
    <w:p w:rsidR="00D6545E" w:rsidRDefault="00FC6F25">
      <w:pPr>
        <w:spacing w:before="40" w:after="40"/>
        <w:jc w:val="both"/>
      </w:pPr>
      <w:r>
        <w:rPr>
          <w:b/>
          <w:bCs/>
        </w:rPr>
        <w:t>5.</w:t>
      </w:r>
      <w:r>
        <w:t xml:space="preserve"> </w:t>
      </w:r>
      <w:proofErr w:type="spellStart"/>
      <w:r>
        <w:t>Becke</w:t>
      </w:r>
      <w:proofErr w:type="spellEnd"/>
      <w:r>
        <w:t xml:space="preserve">, A.D. Density-functional thermochemistry. III. The role of exact exchange. </w:t>
      </w:r>
      <w:proofErr w:type="gramStart"/>
      <w:r>
        <w:rPr>
          <w:i/>
          <w:iCs/>
        </w:rPr>
        <w:t>J. Chem. Phys.</w:t>
      </w:r>
      <w:r>
        <w:t xml:space="preserve"> 1993, 98, 5648.</w:t>
      </w:r>
      <w:proofErr w:type="gramEnd"/>
      <w:r>
        <w:t xml:space="preserve"> DOI: 10.1063/1.464913</w:t>
      </w:r>
    </w:p>
    <w:p w:rsidR="00D6545E" w:rsidRDefault="00FC6F25">
      <w:pPr>
        <w:spacing w:before="40" w:after="40"/>
        <w:jc w:val="both"/>
      </w:pPr>
      <w:r>
        <w:rPr>
          <w:b/>
          <w:bCs/>
        </w:rPr>
        <w:t>6.</w:t>
      </w:r>
      <w:r>
        <w:t xml:space="preserve"> Lee, C.; Yang, W.; Parr, R.G. Development of the Colle-</w:t>
      </w:r>
      <w:proofErr w:type="spellStart"/>
      <w:r>
        <w:t>Salvetti</w:t>
      </w:r>
      <w:proofErr w:type="spellEnd"/>
      <w:r>
        <w:t xml:space="preserve"> correlation-energy formula i</w:t>
      </w:r>
      <w:r>
        <w:t xml:space="preserve">nto a functional of the electron density. </w:t>
      </w:r>
      <w:proofErr w:type="gramStart"/>
      <w:r>
        <w:rPr>
          <w:i/>
          <w:iCs/>
        </w:rPr>
        <w:t>Phys. Rev. B</w:t>
      </w:r>
      <w:r>
        <w:t xml:space="preserve"> 1988, 37, 785.</w:t>
      </w:r>
      <w:proofErr w:type="gramEnd"/>
      <w:r>
        <w:t xml:space="preserve"> DOI: 10.1103/PhysRevB.37.785</w:t>
      </w:r>
    </w:p>
    <w:p w:rsidR="00D6545E" w:rsidRDefault="00FC6F25">
      <w:pPr>
        <w:spacing w:before="40" w:after="40"/>
        <w:jc w:val="both"/>
      </w:pPr>
      <w:r>
        <w:rPr>
          <w:b/>
          <w:bCs/>
        </w:rPr>
        <w:t>7.</w:t>
      </w:r>
      <w:r>
        <w:t xml:space="preserve"> Parr, R.G.; Yang, W. </w:t>
      </w:r>
      <w:r>
        <w:rPr>
          <w:i/>
          <w:iCs/>
        </w:rPr>
        <w:t>Density Functional Theory of Atoms and Molecules.</w:t>
      </w:r>
      <w:r>
        <w:t xml:space="preserve"> Oxford University Press: New York, 1989.</w:t>
      </w:r>
    </w:p>
    <w:p w:rsidR="00D6545E" w:rsidRDefault="00FC6F25">
      <w:pPr>
        <w:spacing w:before="40" w:after="40"/>
        <w:jc w:val="both"/>
      </w:pPr>
      <w:r>
        <w:rPr>
          <w:b/>
          <w:bCs/>
        </w:rPr>
        <w:t>8.</w:t>
      </w:r>
      <w:r>
        <w:t xml:space="preserve"> </w:t>
      </w:r>
      <w:proofErr w:type="spellStart"/>
      <w:r>
        <w:t>Hohenberg</w:t>
      </w:r>
      <w:proofErr w:type="spellEnd"/>
      <w:r>
        <w:t>, P.; Kohn, W. Inhomogeneous e</w:t>
      </w:r>
      <w:r>
        <w:t xml:space="preserve">lectron gas. </w:t>
      </w:r>
      <w:proofErr w:type="gramStart"/>
      <w:r>
        <w:rPr>
          <w:i/>
          <w:iCs/>
        </w:rPr>
        <w:t>Phys. Rev.</w:t>
      </w:r>
      <w:r>
        <w:t xml:space="preserve"> 1964, 136, B864.</w:t>
      </w:r>
      <w:proofErr w:type="gramEnd"/>
    </w:p>
    <w:p w:rsidR="00D6545E" w:rsidRDefault="00FC6F25">
      <w:pPr>
        <w:spacing w:before="40" w:after="40"/>
        <w:jc w:val="both"/>
      </w:pPr>
      <w:r>
        <w:rPr>
          <w:b/>
          <w:bCs/>
        </w:rPr>
        <w:t>9.</w:t>
      </w:r>
      <w:r>
        <w:t xml:space="preserve"> Kohn, W.; Sham, L.J. Self-consistent equations including exchange and correlation effects. </w:t>
      </w:r>
      <w:proofErr w:type="gramStart"/>
      <w:r>
        <w:rPr>
          <w:i/>
          <w:iCs/>
        </w:rPr>
        <w:t>Phys. Rev.</w:t>
      </w:r>
      <w:r>
        <w:t xml:space="preserve"> 1965, 140, A1133.</w:t>
      </w:r>
      <w:proofErr w:type="gramEnd"/>
    </w:p>
    <w:p w:rsidR="00D6545E" w:rsidRDefault="00FC6F25">
      <w:pPr>
        <w:spacing w:before="40" w:after="40"/>
        <w:jc w:val="both"/>
      </w:pPr>
      <w:r>
        <w:rPr>
          <w:b/>
          <w:bCs/>
        </w:rPr>
        <w:t>10.</w:t>
      </w:r>
      <w:r>
        <w:t xml:space="preserve"> Locatelli, M. et al. EC₅₀ estimation of antioxidant activity in DPPH• assay using severa</w:t>
      </w:r>
      <w:r>
        <w:t xml:space="preserve">l statistical programs. </w:t>
      </w:r>
      <w:r>
        <w:rPr>
          <w:i/>
          <w:iCs/>
        </w:rPr>
        <w:t>Food Chemistry</w:t>
      </w:r>
      <w:r>
        <w:t xml:space="preserve"> 2013, 138, 1478–1483. DOI: 10.1016/j.foodchem.2012.11.001</w:t>
      </w:r>
    </w:p>
    <w:p w:rsidR="00D6545E" w:rsidRDefault="00FC6F25">
      <w:pPr>
        <w:spacing w:before="40" w:after="80"/>
        <w:jc w:val="both"/>
      </w:pPr>
      <w:r>
        <w:rPr>
          <w:b/>
          <w:bCs/>
        </w:rPr>
        <w:t>11.</w:t>
      </w:r>
      <w:r>
        <w:t xml:space="preserve"> </w:t>
      </w:r>
      <w:proofErr w:type="spellStart"/>
      <w:r>
        <w:t>Leopoldini</w:t>
      </w:r>
      <w:proofErr w:type="spellEnd"/>
      <w:r>
        <w:t xml:space="preserve">, M. et al. Antioxidant properties of phenolic compounds: H-atom versus electron transfer mechanism. </w:t>
      </w:r>
      <w:r>
        <w:rPr>
          <w:i/>
          <w:iCs/>
        </w:rPr>
        <w:t>J. Phys. Chem. A</w:t>
      </w:r>
      <w:r>
        <w:t xml:space="preserve"> 2004, 108, 4916–4922.</w:t>
      </w:r>
    </w:p>
    <w:sectPr w:rsidR="00D6545E">
      <w:pgSz w:w="11906" w:h="16838"/>
      <w:pgMar w:top="1440" w:right="1727"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31197B"/>
    <w:multiLevelType w:val="hybridMultilevel"/>
    <w:tmpl w:val="8DFA1B46"/>
    <w:lvl w:ilvl="0" w:tplc="D19C015A">
      <w:start w:val="1"/>
      <w:numFmt w:val="bullet"/>
      <w:lvlText w:val="●"/>
      <w:lvlJc w:val="left"/>
      <w:pPr>
        <w:ind w:left="720" w:hanging="360"/>
      </w:pPr>
    </w:lvl>
    <w:lvl w:ilvl="1" w:tplc="10D296A2">
      <w:start w:val="1"/>
      <w:numFmt w:val="bullet"/>
      <w:lvlText w:val="○"/>
      <w:lvlJc w:val="left"/>
      <w:pPr>
        <w:ind w:left="1440" w:hanging="360"/>
      </w:pPr>
    </w:lvl>
    <w:lvl w:ilvl="2" w:tplc="6B1EBA0E">
      <w:start w:val="1"/>
      <w:numFmt w:val="bullet"/>
      <w:lvlText w:val="■"/>
      <w:lvlJc w:val="left"/>
      <w:pPr>
        <w:ind w:left="2160" w:hanging="360"/>
      </w:pPr>
    </w:lvl>
    <w:lvl w:ilvl="3" w:tplc="3D9A9FFA">
      <w:start w:val="1"/>
      <w:numFmt w:val="bullet"/>
      <w:lvlText w:val="●"/>
      <w:lvlJc w:val="left"/>
      <w:pPr>
        <w:ind w:left="2880" w:hanging="360"/>
      </w:pPr>
    </w:lvl>
    <w:lvl w:ilvl="4" w:tplc="D3EA5106">
      <w:start w:val="1"/>
      <w:numFmt w:val="bullet"/>
      <w:lvlText w:val="○"/>
      <w:lvlJc w:val="left"/>
      <w:pPr>
        <w:ind w:left="3600" w:hanging="360"/>
      </w:pPr>
    </w:lvl>
    <w:lvl w:ilvl="5" w:tplc="B91E6398">
      <w:start w:val="1"/>
      <w:numFmt w:val="bullet"/>
      <w:lvlText w:val="■"/>
      <w:lvlJc w:val="left"/>
      <w:pPr>
        <w:ind w:left="4320" w:hanging="360"/>
      </w:pPr>
    </w:lvl>
    <w:lvl w:ilvl="6" w:tplc="22FA4414">
      <w:start w:val="1"/>
      <w:numFmt w:val="bullet"/>
      <w:lvlText w:val="●"/>
      <w:lvlJc w:val="left"/>
      <w:pPr>
        <w:ind w:left="5040" w:hanging="360"/>
      </w:pPr>
    </w:lvl>
    <w:lvl w:ilvl="7" w:tplc="03B0C462">
      <w:start w:val="1"/>
      <w:numFmt w:val="bullet"/>
      <w:lvlText w:val="●"/>
      <w:lvlJc w:val="left"/>
      <w:pPr>
        <w:ind w:left="5760" w:hanging="360"/>
      </w:pPr>
    </w:lvl>
    <w:lvl w:ilvl="8" w:tplc="9CD667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D6545E"/>
    <w:rsid w:val="00D6545E"/>
    <w:rsid w:val="00F64252"/>
    <w:rsid w:val="00FC6F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IN" w:eastAsia="en-IN"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IN" w:eastAsia="en-IN"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5473</Words>
  <Characters>31202</Characters>
  <Application>Microsoft Office Word</Application>
  <DocSecurity>0</DocSecurity>
  <Lines>260</Lines>
  <Paragraphs>73</Paragraphs>
  <ScaleCrop>false</ScaleCrop>
  <Company/>
  <LinksUpToDate>false</LinksUpToDate>
  <CharactersWithSpaces>36602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3</cp:revision>
  <dcterms:created xsi:type="dcterms:W3CDTF">2026-08-02T12:09:00Z</dcterms:created>
  <dcterms:modified xsi:type="dcterms:W3CDTF">2026-08-03T15:46:00Z</dcterms:modified>
</cp:coreProperties>
</file>