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1" simplePos="0" relativeHeight="251384832">
            <wp:simplePos x="0" y="0"/>
            <wp:positionH relativeFrom="page">
              <wp:posOffset>190500</wp:posOffset>
            </wp:positionH>
            <wp:positionV relativeFrom="page">
              <wp:posOffset>88900</wp:posOffset>
            </wp:positionV>
            <wp:extent cx="6987941" cy="2404872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87941" cy="2404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rect style="position:absolute;margin-left:15pt;margin-top:187pt;width:550pt;height:15pt;mso-position-horizontal-relative:page;mso-position-vertical-relative:page;z-index:-251930624" filled="true" fillcolor="#ffffff" stroked="false">
            <v:fill type="solid"/>
            <w10:wrap type="none"/>
          </v:rect>
        </w:pict>
      </w: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 w:after="1"/>
        <w:rPr>
          <w:rFonts w:ascii="Times New Roman"/>
          <w:sz w:val="13"/>
        </w:rPr>
      </w:pPr>
    </w:p>
    <w:tbl>
      <w:tblPr>
        <w:tblW w:w="0" w:type="auto"/>
        <w:jc w:val="left"/>
        <w:tblInd w:w="105" w:type="dxa"/>
        <w:tblBorders>
          <w:top w:val="single" w:sz="2" w:space="0" w:color="00007F"/>
          <w:left w:val="single" w:sz="2" w:space="0" w:color="00007F"/>
          <w:bottom w:val="single" w:sz="2" w:space="0" w:color="00007F"/>
          <w:right w:val="single" w:sz="2" w:space="0" w:color="00007F"/>
          <w:insideH w:val="single" w:sz="2" w:space="0" w:color="00007F"/>
          <w:insideV w:val="single" w:sz="2" w:space="0" w:color="0000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00"/>
        <w:gridCol w:w="2400"/>
      </w:tblGrid>
      <w:tr>
        <w:trPr>
          <w:trHeight w:val="295" w:hRule="atLeast"/>
        </w:trPr>
        <w:tc>
          <w:tcPr>
            <w:tcW w:w="11000" w:type="dxa"/>
            <w:gridSpan w:val="2"/>
          </w:tcPr>
          <w:p>
            <w:pPr>
              <w:pStyle w:val="TableParagraph"/>
              <w:spacing w:line="240" w:lineRule="auto" w:before="76"/>
              <w:ind w:left="3815" w:right="3762"/>
              <w:jc w:val="center"/>
              <w:rPr>
                <w:sz w:val="16"/>
              </w:rPr>
            </w:pPr>
            <w:r>
              <w:rPr>
                <w:sz w:val="16"/>
              </w:rPr>
              <w:t>COST TO COMPANY(CTC) FOR Ahad Zafar</w:t>
            </w:r>
          </w:p>
        </w:tc>
      </w:tr>
      <w:tr>
        <w:trPr>
          <w:trHeight w:val="275" w:hRule="atLeast"/>
        </w:trPr>
        <w:tc>
          <w:tcPr>
            <w:tcW w:w="11000" w:type="dxa"/>
            <w:gridSpan w:val="2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Email:</w:t>
            </w:r>
            <w:hyperlink r:id="rId6">
              <w:r>
                <w:rPr>
                  <w:sz w:val="14"/>
                </w:rPr>
                <w:t> ahad.zafar08@gmail.com</w:t>
              </w:r>
            </w:hyperlink>
          </w:p>
        </w:tc>
      </w:tr>
      <w:tr>
        <w:trPr>
          <w:trHeight w:val="275" w:hRule="atLeast"/>
        </w:trPr>
        <w:tc>
          <w:tcPr>
            <w:tcW w:w="11000" w:type="dxa"/>
            <w:gridSpan w:val="2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Band: E1</w:t>
            </w:r>
          </w:p>
        </w:tc>
      </w:tr>
      <w:tr>
        <w:trPr>
          <w:trHeight w:val="275" w:hRule="atLeast"/>
        </w:trPr>
        <w:tc>
          <w:tcPr>
            <w:tcW w:w="11000" w:type="dxa"/>
            <w:gridSpan w:val="2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Designation: SENIOR SOFTWARE ENGINEER</w:t>
            </w:r>
          </w:p>
        </w:tc>
      </w:tr>
      <w:tr>
        <w:trPr>
          <w:trHeight w:val="275" w:hRule="atLeast"/>
        </w:trPr>
        <w:tc>
          <w:tcPr>
            <w:tcW w:w="11000" w:type="dxa"/>
            <w:gridSpan w:val="2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Issued Date:Wednesday, December 15, 2021</w:t>
            </w:r>
          </w:p>
        </w:tc>
      </w:tr>
      <w:tr>
        <w:trPr>
          <w:trHeight w:val="275" w:hRule="atLeast"/>
        </w:trPr>
        <w:tc>
          <w:tcPr>
            <w:tcW w:w="11000" w:type="dxa"/>
            <w:gridSpan w:val="2"/>
          </w:tcPr>
          <w:p>
            <w:pPr>
              <w:pStyle w:val="TableParagraph"/>
              <w:ind w:left="3775" w:right="3762"/>
              <w:jc w:val="center"/>
              <w:rPr>
                <w:sz w:val="16"/>
              </w:rPr>
            </w:pPr>
            <w:r>
              <w:rPr>
                <w:sz w:val="16"/>
              </w:rPr>
              <w:t>Monthly Components (In Rs.)</w:t>
            </w:r>
          </w:p>
        </w:tc>
      </w:tr>
      <w:tr>
        <w:trPr>
          <w:trHeight w:val="295" w:hRule="atLeast"/>
        </w:trPr>
        <w:tc>
          <w:tcPr>
            <w:tcW w:w="8600" w:type="dxa"/>
          </w:tcPr>
          <w:p>
            <w:pPr>
              <w:pStyle w:val="TableParagraph"/>
              <w:spacing w:before="116"/>
              <w:rPr>
                <w:sz w:val="14"/>
              </w:rPr>
            </w:pPr>
            <w:r>
              <w:rPr>
                <w:sz w:val="14"/>
              </w:rPr>
              <w:t>Basic Salary</w:t>
            </w:r>
          </w:p>
        </w:tc>
        <w:tc>
          <w:tcPr>
            <w:tcW w:w="2400" w:type="dxa"/>
          </w:tcPr>
          <w:p>
            <w:pPr>
              <w:pStyle w:val="TableParagraph"/>
              <w:spacing w:before="116"/>
              <w:ind w:left="0" w:right="92"/>
              <w:jc w:val="right"/>
              <w:rPr>
                <w:sz w:val="14"/>
              </w:rPr>
            </w:pPr>
            <w:r>
              <w:rPr>
                <w:sz w:val="14"/>
              </w:rPr>
              <w:t>15569</w:t>
            </w:r>
          </w:p>
        </w:tc>
      </w:tr>
      <w:tr>
        <w:trPr>
          <w:trHeight w:val="295" w:hRule="atLeast"/>
        </w:trPr>
        <w:tc>
          <w:tcPr>
            <w:tcW w:w="8600" w:type="dxa"/>
          </w:tcPr>
          <w:p>
            <w:pPr>
              <w:pStyle w:val="TableParagraph"/>
              <w:spacing w:before="116"/>
              <w:rPr>
                <w:sz w:val="14"/>
              </w:rPr>
            </w:pPr>
            <w:r>
              <w:rPr>
                <w:sz w:val="14"/>
              </w:rPr>
              <w:t>House Rent Allowance/Company Leased Accomodation</w:t>
            </w:r>
          </w:p>
        </w:tc>
        <w:tc>
          <w:tcPr>
            <w:tcW w:w="2400" w:type="dxa"/>
          </w:tcPr>
          <w:p>
            <w:pPr>
              <w:pStyle w:val="TableParagraph"/>
              <w:spacing w:before="116"/>
              <w:ind w:left="0" w:right="79"/>
              <w:jc w:val="right"/>
              <w:rPr>
                <w:sz w:val="14"/>
              </w:rPr>
            </w:pPr>
            <w:r>
              <w:rPr>
                <w:sz w:val="14"/>
              </w:rPr>
              <w:t>7785</w:t>
            </w:r>
          </w:p>
        </w:tc>
      </w:tr>
      <w:tr>
        <w:trPr>
          <w:trHeight w:val="295" w:hRule="atLeast"/>
        </w:trPr>
        <w:tc>
          <w:tcPr>
            <w:tcW w:w="8600" w:type="dxa"/>
          </w:tcPr>
          <w:p>
            <w:pPr>
              <w:pStyle w:val="TableParagraph"/>
              <w:spacing w:before="116"/>
              <w:rPr>
                <w:sz w:val="14"/>
              </w:rPr>
            </w:pPr>
            <w:r>
              <w:rPr>
                <w:sz w:val="14"/>
              </w:rPr>
              <w:t>Holiday Allowance</w:t>
            </w:r>
          </w:p>
        </w:tc>
        <w:tc>
          <w:tcPr>
            <w:tcW w:w="2400" w:type="dxa"/>
          </w:tcPr>
          <w:p>
            <w:pPr>
              <w:pStyle w:val="TableParagraph"/>
              <w:spacing w:before="116"/>
              <w:ind w:left="0" w:right="79"/>
              <w:jc w:val="right"/>
              <w:rPr>
                <w:sz w:val="14"/>
              </w:rPr>
            </w:pPr>
            <w:r>
              <w:rPr>
                <w:sz w:val="14"/>
              </w:rPr>
              <w:t>4166</w:t>
            </w:r>
          </w:p>
        </w:tc>
      </w:tr>
      <w:tr>
        <w:trPr>
          <w:trHeight w:val="295" w:hRule="atLeast"/>
        </w:trPr>
        <w:tc>
          <w:tcPr>
            <w:tcW w:w="8600" w:type="dxa"/>
          </w:tcPr>
          <w:p>
            <w:pPr>
              <w:pStyle w:val="TableParagraph"/>
              <w:spacing w:before="116"/>
              <w:rPr>
                <w:sz w:val="14"/>
              </w:rPr>
            </w:pPr>
            <w:r>
              <w:rPr>
                <w:sz w:val="14"/>
              </w:rPr>
              <w:t>Compensatory Allowance</w:t>
            </w:r>
          </w:p>
        </w:tc>
        <w:tc>
          <w:tcPr>
            <w:tcW w:w="2400" w:type="dxa"/>
          </w:tcPr>
          <w:p>
            <w:pPr>
              <w:pStyle w:val="TableParagraph"/>
              <w:spacing w:before="116"/>
              <w:ind w:left="0" w:right="92"/>
              <w:jc w:val="right"/>
              <w:rPr>
                <w:sz w:val="14"/>
              </w:rPr>
            </w:pPr>
            <w:r>
              <w:rPr>
                <w:sz w:val="14"/>
              </w:rPr>
              <w:t>19689</w:t>
            </w:r>
          </w:p>
        </w:tc>
      </w:tr>
      <w:tr>
        <w:trPr>
          <w:trHeight w:val="295" w:hRule="atLeast"/>
        </w:trPr>
        <w:tc>
          <w:tcPr>
            <w:tcW w:w="8600" w:type="dxa"/>
          </w:tcPr>
          <w:p>
            <w:pPr>
              <w:pStyle w:val="TableParagraph"/>
              <w:spacing w:before="116"/>
              <w:rPr>
                <w:sz w:val="14"/>
              </w:rPr>
            </w:pPr>
            <w:r>
              <w:rPr>
                <w:sz w:val="14"/>
              </w:rPr>
              <w:t>Food Wallet</w:t>
            </w:r>
          </w:p>
        </w:tc>
        <w:tc>
          <w:tcPr>
            <w:tcW w:w="2400" w:type="dxa"/>
          </w:tcPr>
          <w:p>
            <w:pPr>
              <w:pStyle w:val="TableParagraph"/>
              <w:spacing w:before="116"/>
              <w:ind w:left="0" w:right="79"/>
              <w:jc w:val="right"/>
              <w:rPr>
                <w:sz w:val="14"/>
              </w:rPr>
            </w:pPr>
            <w:r>
              <w:rPr>
                <w:sz w:val="14"/>
              </w:rPr>
              <w:t>2000</w:t>
            </w:r>
          </w:p>
        </w:tc>
      </w:tr>
      <w:tr>
        <w:trPr>
          <w:trHeight w:val="295" w:hRule="atLeast"/>
        </w:trPr>
        <w:tc>
          <w:tcPr>
            <w:tcW w:w="8600" w:type="dxa"/>
          </w:tcPr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TOTAL: Monthly (A)</w:t>
            </w:r>
          </w:p>
        </w:tc>
        <w:tc>
          <w:tcPr>
            <w:tcW w:w="2400" w:type="dxa"/>
          </w:tcPr>
          <w:p>
            <w:pPr>
              <w:pStyle w:val="TableParagraph"/>
              <w:spacing w:line="178" w:lineRule="exact"/>
              <w:ind w:left="0" w:right="87"/>
              <w:jc w:val="right"/>
              <w:rPr>
                <w:sz w:val="16"/>
              </w:rPr>
            </w:pPr>
            <w:r>
              <w:rPr>
                <w:sz w:val="16"/>
              </w:rPr>
              <w:t>49209</w:t>
            </w:r>
          </w:p>
        </w:tc>
      </w:tr>
      <w:tr>
        <w:trPr>
          <w:trHeight w:val="295" w:hRule="atLeast"/>
        </w:trPr>
        <w:tc>
          <w:tcPr>
            <w:tcW w:w="8600" w:type="dxa"/>
          </w:tcPr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TOTAL: Monthly : Annualised (B)</w:t>
            </w:r>
          </w:p>
        </w:tc>
        <w:tc>
          <w:tcPr>
            <w:tcW w:w="2400" w:type="dxa"/>
          </w:tcPr>
          <w:p>
            <w:pPr>
              <w:pStyle w:val="TableParagraph"/>
              <w:spacing w:line="178" w:lineRule="exact"/>
              <w:ind w:left="0" w:right="85"/>
              <w:jc w:val="right"/>
              <w:rPr>
                <w:sz w:val="16"/>
              </w:rPr>
            </w:pPr>
            <w:r>
              <w:rPr>
                <w:sz w:val="16"/>
              </w:rPr>
              <w:t>590508</w:t>
            </w:r>
          </w:p>
        </w:tc>
      </w:tr>
      <w:tr>
        <w:trPr>
          <w:trHeight w:val="75" w:hRule="atLeast"/>
        </w:trPr>
        <w:tc>
          <w:tcPr>
            <w:tcW w:w="11000" w:type="dxa"/>
            <w:gridSpan w:val="2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"/>
              </w:rPr>
            </w:pPr>
          </w:p>
        </w:tc>
      </w:tr>
      <w:tr>
        <w:trPr>
          <w:trHeight w:val="275" w:hRule="atLeast"/>
        </w:trPr>
        <w:tc>
          <w:tcPr>
            <w:tcW w:w="11000" w:type="dxa"/>
            <w:gridSpan w:val="2"/>
          </w:tcPr>
          <w:p>
            <w:pPr>
              <w:pStyle w:val="TableParagraph"/>
              <w:ind w:left="3773" w:right="3762"/>
              <w:jc w:val="center"/>
              <w:rPr>
                <w:sz w:val="16"/>
              </w:rPr>
            </w:pPr>
            <w:r>
              <w:rPr>
                <w:sz w:val="16"/>
              </w:rPr>
              <w:t>Annual Components (In Rs.)</w:t>
            </w:r>
          </w:p>
        </w:tc>
      </w:tr>
      <w:tr>
        <w:trPr>
          <w:trHeight w:val="295" w:hRule="atLeast"/>
        </w:trPr>
        <w:tc>
          <w:tcPr>
            <w:tcW w:w="8600" w:type="dxa"/>
          </w:tcPr>
          <w:p>
            <w:pPr>
              <w:pStyle w:val="TableParagraph"/>
              <w:spacing w:before="116"/>
              <w:rPr>
                <w:sz w:val="14"/>
              </w:rPr>
            </w:pPr>
            <w:r>
              <w:rPr>
                <w:sz w:val="14"/>
              </w:rPr>
              <w:t>Provident Fund</w:t>
            </w:r>
          </w:p>
        </w:tc>
        <w:tc>
          <w:tcPr>
            <w:tcW w:w="2400" w:type="dxa"/>
          </w:tcPr>
          <w:p>
            <w:pPr>
              <w:pStyle w:val="TableParagraph"/>
              <w:spacing w:before="116"/>
              <w:ind w:left="0" w:right="92"/>
              <w:jc w:val="right"/>
              <w:rPr>
                <w:sz w:val="14"/>
              </w:rPr>
            </w:pPr>
            <w:r>
              <w:rPr>
                <w:sz w:val="14"/>
              </w:rPr>
              <w:t>22419</w:t>
            </w:r>
          </w:p>
        </w:tc>
      </w:tr>
      <w:tr>
        <w:trPr>
          <w:trHeight w:val="295" w:hRule="atLeast"/>
        </w:trPr>
        <w:tc>
          <w:tcPr>
            <w:tcW w:w="8600" w:type="dxa"/>
          </w:tcPr>
          <w:p>
            <w:pPr>
              <w:pStyle w:val="TableParagraph"/>
              <w:spacing w:before="116"/>
              <w:rPr>
                <w:sz w:val="14"/>
              </w:rPr>
            </w:pPr>
            <w:r>
              <w:rPr>
                <w:sz w:val="14"/>
              </w:rPr>
              <w:t>Gratuity</w:t>
            </w:r>
          </w:p>
        </w:tc>
        <w:tc>
          <w:tcPr>
            <w:tcW w:w="2400" w:type="dxa"/>
          </w:tcPr>
          <w:p>
            <w:pPr>
              <w:pStyle w:val="TableParagraph"/>
              <w:spacing w:before="116"/>
              <w:ind w:left="0" w:right="79"/>
              <w:jc w:val="right"/>
              <w:rPr>
                <w:sz w:val="14"/>
              </w:rPr>
            </w:pPr>
            <w:r>
              <w:rPr>
                <w:sz w:val="14"/>
              </w:rPr>
              <w:t>8982</w:t>
            </w:r>
          </w:p>
        </w:tc>
      </w:tr>
      <w:tr>
        <w:trPr>
          <w:trHeight w:val="295" w:hRule="atLeast"/>
        </w:trPr>
        <w:tc>
          <w:tcPr>
            <w:tcW w:w="8600" w:type="dxa"/>
          </w:tcPr>
          <w:p>
            <w:pPr>
              <w:pStyle w:val="TableParagraph"/>
              <w:spacing w:before="116"/>
              <w:rPr>
                <w:sz w:val="14"/>
              </w:rPr>
            </w:pPr>
            <w:r>
              <w:rPr>
                <w:sz w:val="14"/>
              </w:rPr>
              <w:t>Insurance &amp; Medical Benefits</w:t>
            </w:r>
          </w:p>
        </w:tc>
        <w:tc>
          <w:tcPr>
            <w:tcW w:w="2400" w:type="dxa"/>
          </w:tcPr>
          <w:p>
            <w:pPr>
              <w:pStyle w:val="TableParagraph"/>
              <w:spacing w:before="116"/>
              <w:ind w:left="0" w:right="92"/>
              <w:jc w:val="right"/>
              <w:rPr>
                <w:sz w:val="14"/>
              </w:rPr>
            </w:pPr>
            <w:r>
              <w:rPr>
                <w:sz w:val="14"/>
              </w:rPr>
              <w:t>10000</w:t>
            </w:r>
          </w:p>
        </w:tc>
      </w:tr>
      <w:tr>
        <w:trPr>
          <w:trHeight w:val="295" w:hRule="atLeast"/>
        </w:trPr>
        <w:tc>
          <w:tcPr>
            <w:tcW w:w="8600" w:type="dxa"/>
          </w:tcPr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TOTAL: Annual : (C)</w:t>
            </w:r>
          </w:p>
        </w:tc>
        <w:tc>
          <w:tcPr>
            <w:tcW w:w="2400" w:type="dxa"/>
          </w:tcPr>
          <w:p>
            <w:pPr>
              <w:pStyle w:val="TableParagraph"/>
              <w:spacing w:line="178" w:lineRule="exact"/>
              <w:ind w:left="0" w:right="87"/>
              <w:jc w:val="right"/>
              <w:rPr>
                <w:sz w:val="16"/>
              </w:rPr>
            </w:pPr>
            <w:r>
              <w:rPr>
                <w:sz w:val="16"/>
              </w:rPr>
              <w:t>41401</w:t>
            </w:r>
          </w:p>
        </w:tc>
      </w:tr>
      <w:tr>
        <w:trPr>
          <w:trHeight w:val="75" w:hRule="atLeast"/>
        </w:trPr>
        <w:tc>
          <w:tcPr>
            <w:tcW w:w="11000" w:type="dxa"/>
            <w:gridSpan w:val="2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"/>
              </w:rPr>
            </w:pPr>
          </w:p>
        </w:tc>
      </w:tr>
      <w:tr>
        <w:trPr>
          <w:trHeight w:val="275" w:hRule="atLeast"/>
        </w:trPr>
        <w:tc>
          <w:tcPr>
            <w:tcW w:w="11000" w:type="dxa"/>
            <w:gridSpan w:val="2"/>
          </w:tcPr>
          <w:p>
            <w:pPr>
              <w:pStyle w:val="TableParagraph"/>
              <w:ind w:left="3815" w:right="3761"/>
              <w:jc w:val="center"/>
              <w:rPr>
                <w:sz w:val="16"/>
              </w:rPr>
            </w:pPr>
            <w:r>
              <w:rPr>
                <w:sz w:val="16"/>
              </w:rPr>
              <w:t>Variable Components(In Rs.)</w:t>
            </w:r>
          </w:p>
        </w:tc>
      </w:tr>
      <w:tr>
        <w:trPr>
          <w:trHeight w:val="315" w:hRule="atLeast"/>
        </w:trPr>
        <w:tc>
          <w:tcPr>
            <w:tcW w:w="8600" w:type="dxa"/>
          </w:tcPr>
          <w:p>
            <w:pPr>
              <w:pStyle w:val="TableParagraph"/>
              <w:spacing w:before="136"/>
              <w:rPr>
                <w:sz w:val="14"/>
              </w:rPr>
            </w:pPr>
            <w:r>
              <w:rPr>
                <w:sz w:val="14"/>
              </w:rPr>
              <w:t>Engagement PB @ 100% achievement levels (paid monthly)</w:t>
            </w:r>
          </w:p>
        </w:tc>
        <w:tc>
          <w:tcPr>
            <w:tcW w:w="2400" w:type="dxa"/>
          </w:tcPr>
          <w:p>
            <w:pPr>
              <w:pStyle w:val="TableParagraph"/>
              <w:spacing w:before="136"/>
              <w:ind w:left="0" w:right="92"/>
              <w:jc w:val="right"/>
              <w:rPr>
                <w:sz w:val="14"/>
              </w:rPr>
            </w:pPr>
            <w:r>
              <w:rPr>
                <w:sz w:val="14"/>
              </w:rPr>
              <w:t>35496</w:t>
            </w:r>
          </w:p>
        </w:tc>
      </w:tr>
      <w:tr>
        <w:trPr>
          <w:trHeight w:val="315" w:hRule="atLeast"/>
        </w:trPr>
        <w:tc>
          <w:tcPr>
            <w:tcW w:w="8600" w:type="dxa"/>
          </w:tcPr>
          <w:p>
            <w:pPr>
              <w:pStyle w:val="TableParagraph"/>
              <w:spacing w:before="136"/>
              <w:rPr>
                <w:sz w:val="14"/>
              </w:rPr>
            </w:pPr>
            <w:r>
              <w:rPr>
                <w:sz w:val="14"/>
              </w:rPr>
              <w:t>Performance Bonus @ 100% achievement levels+</w:t>
            </w:r>
          </w:p>
        </w:tc>
        <w:tc>
          <w:tcPr>
            <w:tcW w:w="2400" w:type="dxa"/>
          </w:tcPr>
          <w:p>
            <w:pPr>
              <w:pStyle w:val="TableParagraph"/>
              <w:spacing w:before="136"/>
              <w:ind w:left="0" w:right="92"/>
              <w:jc w:val="right"/>
              <w:rPr>
                <w:sz w:val="14"/>
              </w:rPr>
            </w:pPr>
            <w:r>
              <w:rPr>
                <w:sz w:val="14"/>
              </w:rPr>
              <w:t>42600</w:t>
            </w:r>
          </w:p>
        </w:tc>
      </w:tr>
      <w:tr>
        <w:trPr>
          <w:trHeight w:val="315" w:hRule="atLeast"/>
        </w:trPr>
        <w:tc>
          <w:tcPr>
            <w:tcW w:w="8600" w:type="dxa"/>
          </w:tcPr>
          <w:p>
            <w:pPr>
              <w:pStyle w:val="TableParagraph"/>
              <w:spacing w:line="178" w:lineRule="exact" w:before="116"/>
              <w:rPr>
                <w:sz w:val="16"/>
              </w:rPr>
            </w:pPr>
            <w:r>
              <w:rPr>
                <w:sz w:val="16"/>
              </w:rPr>
              <w:t>TOTAL: Variable Components : (D)</w:t>
            </w:r>
          </w:p>
        </w:tc>
        <w:tc>
          <w:tcPr>
            <w:tcW w:w="2400" w:type="dxa"/>
          </w:tcPr>
          <w:p>
            <w:pPr>
              <w:pStyle w:val="TableParagraph"/>
              <w:spacing w:line="178" w:lineRule="exact" w:before="116"/>
              <w:ind w:left="0" w:right="87"/>
              <w:jc w:val="right"/>
              <w:rPr>
                <w:sz w:val="16"/>
              </w:rPr>
            </w:pPr>
            <w:r>
              <w:rPr>
                <w:sz w:val="16"/>
              </w:rPr>
              <w:t>78096</w:t>
            </w:r>
          </w:p>
        </w:tc>
      </w:tr>
      <w:tr>
        <w:trPr>
          <w:trHeight w:val="75" w:hRule="atLeast"/>
        </w:trPr>
        <w:tc>
          <w:tcPr>
            <w:tcW w:w="11000" w:type="dxa"/>
            <w:gridSpan w:val="2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"/>
              </w:rPr>
            </w:pPr>
          </w:p>
        </w:tc>
      </w:tr>
      <w:tr>
        <w:trPr>
          <w:trHeight w:val="315" w:hRule="atLeast"/>
        </w:trPr>
        <w:tc>
          <w:tcPr>
            <w:tcW w:w="8600" w:type="dxa"/>
            <w:shd w:val="clear" w:color="auto" w:fill="BFBFBF"/>
          </w:tcPr>
          <w:p>
            <w:pPr>
              <w:pStyle w:val="TableParagraph"/>
              <w:spacing w:line="178" w:lineRule="exact" w:before="116"/>
              <w:rPr>
                <w:sz w:val="16"/>
              </w:rPr>
            </w:pPr>
            <w:r>
              <w:rPr>
                <w:sz w:val="16"/>
              </w:rPr>
              <w:t>Total Annual Earning Opportunity (B) + (C) + (D)</w:t>
            </w:r>
          </w:p>
        </w:tc>
        <w:tc>
          <w:tcPr>
            <w:tcW w:w="2400" w:type="dxa"/>
            <w:shd w:val="clear" w:color="auto" w:fill="BFBFBF"/>
          </w:tcPr>
          <w:p>
            <w:pPr>
              <w:pStyle w:val="TableParagraph"/>
              <w:spacing w:before="136"/>
              <w:ind w:left="0" w:right="82"/>
              <w:jc w:val="right"/>
              <w:rPr>
                <w:sz w:val="14"/>
              </w:rPr>
            </w:pPr>
            <w:r>
              <w:rPr>
                <w:sz w:val="14"/>
              </w:rPr>
              <w:t>710005</w:t>
            </w:r>
          </w:p>
        </w:tc>
      </w:tr>
      <w:tr>
        <w:trPr>
          <w:trHeight w:val="195" w:hRule="atLeast"/>
        </w:trPr>
        <w:tc>
          <w:tcPr>
            <w:tcW w:w="11000" w:type="dxa"/>
            <w:gridSpan w:val="2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2"/>
              </w:rPr>
            </w:pPr>
          </w:p>
        </w:tc>
      </w:tr>
      <w:tr>
        <w:trPr>
          <w:trHeight w:val="295" w:hRule="atLeast"/>
        </w:trPr>
        <w:tc>
          <w:tcPr>
            <w:tcW w:w="8600" w:type="dxa"/>
            <w:shd w:val="clear" w:color="auto" w:fill="BFBFBF"/>
          </w:tcPr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$ INSURANCE &amp; MEDICAL BENEFITS (in Rs.)</w:t>
            </w:r>
          </w:p>
        </w:tc>
        <w:tc>
          <w:tcPr>
            <w:tcW w:w="2400" w:type="dxa"/>
            <w:shd w:val="clear" w:color="auto" w:fill="BFBFBF"/>
          </w:tcPr>
          <w:p>
            <w:pPr>
              <w:pStyle w:val="TableParagraph"/>
              <w:spacing w:line="240" w:lineRule="auto" w:before="10"/>
              <w:ind w:left="0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line="138" w:lineRule="exact" w:before="0"/>
              <w:ind w:left="0" w:right="91"/>
              <w:jc w:val="right"/>
              <w:rPr>
                <w:sz w:val="12"/>
              </w:rPr>
            </w:pPr>
            <w:r>
              <w:rPr>
                <w:sz w:val="12"/>
              </w:rPr>
              <w:t>MAX SUB-LIMITS (per annum)</w:t>
            </w:r>
          </w:p>
        </w:tc>
      </w:tr>
      <w:tr>
        <w:trPr>
          <w:trHeight w:val="275" w:hRule="atLeast"/>
        </w:trPr>
        <w:tc>
          <w:tcPr>
            <w:tcW w:w="8600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Hospitalization cost reimbursement limit</w:t>
            </w:r>
          </w:p>
        </w:tc>
        <w:tc>
          <w:tcPr>
            <w:tcW w:w="2400" w:type="dxa"/>
          </w:tcPr>
          <w:p>
            <w:pPr>
              <w:pStyle w:val="TableParagraph"/>
              <w:ind w:left="0" w:right="82"/>
              <w:jc w:val="right"/>
              <w:rPr>
                <w:sz w:val="14"/>
              </w:rPr>
            </w:pPr>
            <w:r>
              <w:rPr>
                <w:sz w:val="14"/>
              </w:rPr>
              <w:t>360000</w:t>
            </w:r>
          </w:p>
        </w:tc>
      </w:tr>
      <w:tr>
        <w:trPr>
          <w:trHeight w:val="275" w:hRule="atLeast"/>
        </w:trPr>
        <w:tc>
          <w:tcPr>
            <w:tcW w:w="8600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Term life Insurance Cover##</w:t>
            </w:r>
          </w:p>
        </w:tc>
        <w:tc>
          <w:tcPr>
            <w:tcW w:w="2400" w:type="dxa"/>
          </w:tcPr>
          <w:p>
            <w:pPr>
              <w:pStyle w:val="TableParagraph"/>
              <w:ind w:left="0" w:right="93"/>
              <w:jc w:val="right"/>
              <w:rPr>
                <w:sz w:val="14"/>
              </w:rPr>
            </w:pPr>
            <w:r>
              <w:rPr>
                <w:sz w:val="14"/>
              </w:rPr>
              <w:t>2000000</w:t>
            </w:r>
          </w:p>
        </w:tc>
      </w:tr>
      <w:tr>
        <w:trPr>
          <w:trHeight w:val="275" w:hRule="atLeast"/>
        </w:trPr>
        <w:tc>
          <w:tcPr>
            <w:tcW w:w="8600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Disability cover due to accident (upto)</w:t>
            </w:r>
          </w:p>
        </w:tc>
        <w:tc>
          <w:tcPr>
            <w:tcW w:w="2400" w:type="dxa"/>
          </w:tcPr>
          <w:p>
            <w:pPr>
              <w:pStyle w:val="TableParagraph"/>
              <w:ind w:left="0" w:right="93"/>
              <w:jc w:val="right"/>
              <w:rPr>
                <w:sz w:val="14"/>
              </w:rPr>
            </w:pPr>
            <w:r>
              <w:rPr>
                <w:sz w:val="14"/>
              </w:rPr>
              <w:t>1800000</w:t>
            </w:r>
          </w:p>
        </w:tc>
      </w:tr>
      <w:tr>
        <w:trPr>
          <w:trHeight w:val="75" w:hRule="atLeast"/>
        </w:trPr>
        <w:tc>
          <w:tcPr>
            <w:tcW w:w="11000" w:type="dxa"/>
            <w:gridSpan w:val="2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"/>
              </w:rPr>
            </w:pPr>
          </w:p>
        </w:tc>
      </w:tr>
      <w:tr>
        <w:trPr>
          <w:trHeight w:val="255" w:hRule="atLeast"/>
        </w:trPr>
        <w:tc>
          <w:tcPr>
            <w:tcW w:w="11000" w:type="dxa"/>
            <w:gridSpan w:val="2"/>
          </w:tcPr>
          <w:p>
            <w:pPr>
              <w:pStyle w:val="TableParagraph"/>
              <w:spacing w:line="240" w:lineRule="auto" w:before="77"/>
              <w:rPr>
                <w:sz w:val="12"/>
              </w:rPr>
            </w:pPr>
            <w:r>
              <w:rPr>
                <w:sz w:val="12"/>
              </w:rPr>
              <w:t>+ Year-end Performance Bonus is not payable on prorate basis in the event of employee leaving the organization prior to the completion of the performance review cycle.</w:t>
            </w:r>
          </w:p>
        </w:tc>
      </w:tr>
      <w:tr>
        <w:trPr>
          <w:trHeight w:val="255" w:hRule="atLeast"/>
        </w:trPr>
        <w:tc>
          <w:tcPr>
            <w:tcW w:w="11000" w:type="dxa"/>
            <w:gridSpan w:val="2"/>
          </w:tcPr>
          <w:p>
            <w:pPr>
              <w:pStyle w:val="TableParagraph"/>
              <w:spacing w:line="240" w:lineRule="auto" w:before="77"/>
              <w:rPr>
                <w:sz w:val="12"/>
              </w:rPr>
            </w:pPr>
            <w:r>
              <w:rPr>
                <w:sz w:val="12"/>
              </w:rPr>
              <w:t>## The EDLI coverage of INR 602,000 is over &amp; above the Term Life Insurance coverage defined above.</w:t>
            </w:r>
          </w:p>
        </w:tc>
      </w:tr>
      <w:tr>
        <w:trPr>
          <w:trHeight w:val="255" w:hRule="atLeast"/>
        </w:trPr>
        <w:tc>
          <w:tcPr>
            <w:tcW w:w="11000" w:type="dxa"/>
            <w:gridSpan w:val="2"/>
          </w:tcPr>
          <w:p>
            <w:pPr>
              <w:pStyle w:val="TableParagraph"/>
              <w:spacing w:line="240" w:lineRule="auto" w:before="77"/>
              <w:rPr>
                <w:sz w:val="12"/>
              </w:rPr>
            </w:pPr>
            <w:r>
              <w:rPr>
                <w:sz w:val="12"/>
              </w:rPr>
              <w:t>Holiday Allowance can be converted into LTA. Please refer guidelines and contact the respective HR Representative.</w:t>
            </w:r>
          </w:p>
        </w:tc>
      </w:tr>
      <w:tr>
        <w:trPr>
          <w:trHeight w:val="255" w:hRule="atLeast"/>
        </w:trPr>
        <w:tc>
          <w:tcPr>
            <w:tcW w:w="11000" w:type="dxa"/>
            <w:gridSpan w:val="2"/>
          </w:tcPr>
          <w:p>
            <w:pPr>
              <w:pStyle w:val="TableParagraph"/>
              <w:spacing w:line="240" w:lineRule="auto" w:before="77"/>
              <w:rPr>
                <w:sz w:val="12"/>
              </w:rPr>
            </w:pPr>
            <w:r>
              <w:rPr>
                <w:sz w:val="12"/>
              </w:rPr>
              <w:t>Enagagement PB will be payable on a monthly basis as per EPB guidelines</w:t>
            </w:r>
          </w:p>
        </w:tc>
      </w:tr>
      <w:tr>
        <w:trPr>
          <w:trHeight w:val="75" w:hRule="atLeast"/>
        </w:trPr>
        <w:tc>
          <w:tcPr>
            <w:tcW w:w="11000" w:type="dxa"/>
            <w:gridSpan w:val="2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"/>
              </w:rPr>
            </w:pPr>
          </w:p>
        </w:tc>
      </w:tr>
      <w:tr>
        <w:trPr>
          <w:trHeight w:val="255" w:hRule="atLeast"/>
        </w:trPr>
        <w:tc>
          <w:tcPr>
            <w:tcW w:w="11000" w:type="dxa"/>
            <w:gridSpan w:val="2"/>
          </w:tcPr>
          <w:p>
            <w:pPr>
              <w:pStyle w:val="TableParagraph"/>
              <w:spacing w:line="240" w:lineRule="auto" w:before="77"/>
              <w:rPr>
                <w:sz w:val="12"/>
              </w:rPr>
            </w:pPr>
            <w:r>
              <w:rPr>
                <w:sz w:val="12"/>
              </w:rPr>
              <w:t>All personal tax liability arising out of compensation and joining expense (if any) will be borne solely by the employee.</w:t>
            </w:r>
          </w:p>
        </w:tc>
      </w:tr>
      <w:tr>
        <w:trPr>
          <w:trHeight w:val="255" w:hRule="atLeast"/>
        </w:trPr>
        <w:tc>
          <w:tcPr>
            <w:tcW w:w="11000" w:type="dxa"/>
            <w:gridSpan w:val="2"/>
          </w:tcPr>
          <w:p>
            <w:pPr>
              <w:pStyle w:val="TableParagraph"/>
              <w:spacing w:line="240" w:lineRule="auto" w:before="36"/>
              <w:rPr>
                <w:sz w:val="16"/>
              </w:rPr>
            </w:pPr>
            <w:r>
              <w:rPr>
                <w:sz w:val="16"/>
              </w:rPr>
              <w:t>NOTE :</w:t>
            </w:r>
          </w:p>
        </w:tc>
      </w:tr>
      <w:tr>
        <w:trPr>
          <w:trHeight w:val="255" w:hRule="atLeast"/>
        </w:trPr>
        <w:tc>
          <w:tcPr>
            <w:tcW w:w="11000" w:type="dxa"/>
            <w:gridSpan w:val="2"/>
          </w:tcPr>
          <w:p>
            <w:pPr>
              <w:pStyle w:val="TableParagraph"/>
              <w:spacing w:line="240" w:lineRule="auto" w:before="77"/>
              <w:rPr>
                <w:sz w:val="12"/>
              </w:rPr>
            </w:pPr>
            <w:r>
              <w:rPr>
                <w:sz w:val="12"/>
              </w:rPr>
              <w:t>All salary components are governed by the company policies and statutory guidelines.</w:t>
            </w:r>
          </w:p>
        </w:tc>
      </w:tr>
      <w:tr>
        <w:trPr>
          <w:trHeight w:val="255" w:hRule="atLeast"/>
        </w:trPr>
        <w:tc>
          <w:tcPr>
            <w:tcW w:w="11000" w:type="dxa"/>
            <w:gridSpan w:val="2"/>
          </w:tcPr>
          <w:p>
            <w:pPr>
              <w:pStyle w:val="TableParagraph"/>
              <w:spacing w:line="240" w:lineRule="auto" w:before="77"/>
              <w:rPr>
                <w:sz w:val="12"/>
              </w:rPr>
            </w:pPr>
            <w:r>
              <w:rPr>
                <w:sz w:val="12"/>
              </w:rPr>
              <w:t>This salary sheet is strictly confidential and must not be discussed with anyone other than your HCLT Reporting Manager</w:t>
            </w:r>
          </w:p>
        </w:tc>
      </w:tr>
    </w:tbl>
    <w:sectPr>
      <w:type w:val="continuous"/>
      <w:pgSz w:w="11900" w:h="16840"/>
      <w:pgMar w:top="140" w:bottom="280" w:left="200" w:right="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Verdana">
    <w:altName w:val="Verdana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spacing w:before="96" w:line="158" w:lineRule="exact"/>
      <w:ind w:left="37"/>
    </w:pPr>
    <w:rPr>
      <w:rFonts w:ascii="Verdana" w:hAnsi="Verdana" w:eastAsia="Verdana" w:cs="Verdana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ahad.zafar08@gmail.com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 Console EIS HCLT</dc:creator>
  <dc:title>Offer Letter</dc:title>
  <dcterms:created xsi:type="dcterms:W3CDTF">2022-01-07T07:59:14Z</dcterms:created>
  <dcterms:modified xsi:type="dcterms:W3CDTF">2022-01-07T07:59:14Z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2022-01-07T00:00:00Z</vt:filetime>
  </property>
  <property fmtid="{D5CDD505-2E9C-101B-9397-08002B2CF9AE}" pid="3" name="Creator">
    <vt:lpwstr>sharpPDF_2.0</vt:lpwstr>
  </property>
  <property fmtid="{D5CDD505-2E9C-101B-9397-08002B2CF9AE}" pid="4" name="LastSaved">
    <vt:filetime>2022-01-07T00:00:00Z</vt:filetime>
  </property>
</Properties>
</file>