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杨希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1982年08月07日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济南市槐荫区纬十一路299号701号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370104198208071627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15801199470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3757.91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112.72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3757.91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150.32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4020.95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PPD09800010477950431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PPD09800010477950431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4965.00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3757.91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112.72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3870.63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济南市槐荫区人民法院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