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被告：张磊，男，汉族，1989年07月07日生，住上海市杨浦区长阳路588号，身份证号：310102198907071710，联系电话：13795227526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1、请求判令被告向原告偿还本金人民币16525.55元、利息568.25元（截至2022年11月5日）；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2、请求判令被告自2022年11月6日日起，以16525.55元为基数，年化24%的利率向原告支付逾期利息等费用，直至原告债权全部清偿之日止；截至2024年4月10日，逾期利息为5750.89元，标的合计22844.69元；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2021年11月6日，被告与京东盛京（下称“贷款人”）签订了《借款合同》（合同编号：ppdJDSJ0010443193103，下称“主合同”），由贷款人向被告发放贷款，并形成相应的电子借据。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深圳市润乾融资担保有限公司（下称“担保人”）签订了《个人贷款委托担保合同》（合同编号：ppdJDSJ0010443193103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2021年11月6日，贷款人向被告发放贷款人民币24500.00元，贷款期限为12个月，贷款年化利息为7.30%。被告收到贷款后并未按照约定的还款期限偿还贷款本息，构成逾期。担保人遂根据贷款人的要求于2022年11月5日履行了担保义务，向贷款人代偿了贷款本金18536.09元及利息568.25元，合计19104.34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