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被告：赵培一，男，汉族，1988年08月23日生，住河南省辉县市赵固乡苗固村221号，身份证号：410782198808231270，联系电话：18240689104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1、请求判令被告向原告偿还本金人民币7559.53元、利息120.93元（截至2024年2月6日）；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2、请求判令被告自2024年2月7日日起，以7559.53元为基数，年化24%的利率向原告支付逾期利息等费用，直至原告债权全部清偿之日止；截至2024年4月10日，逾期利息为322.54元，标的合计8003.00元；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2023年9月6日，被告与锡商银行（下称“贷款人”）签订了《借款合同》（合同编号：PPD10600010538589390，下称“主合同”），由贷款人向被告发放贷款，并形成相应的电子借据。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西安鸿飞融资担保有限公司（下称“担保人”）签订了《个人贷款委托担保合同》（合同编号：PPD10600010538589390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9月6日，贷款人向被告发放贷款人民币10000.00元，贷款期限为12个月，贷款年化利息为6.40%。被告收到贷款后并未按照约定的还款期限偿还贷款本息，构成逾期。担保人遂根据贷款人的要求于2024年2月6日履行了担保义务，向贷款人代偿了贷款本金8377.35元及利息120.93元，合计8498.28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