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被告：韩瑾，男，汉族，1974年01月08日生，住天津市和平区辽宁路85号，身份证号：120101197401080015，联系电话：15522702233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1、请求判令被告向原告偿还本金人民币6502.09元、利息86.89元（截至2024年3月7日）；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2、请求判令被告自2024年3月8日日起，以6502.09元为基数，年化24%的利率向原告支付逾期利息等费用，直至原告债权全部清偿之日止；截至2024年4月10日，逾期利息为147.38元，标的合计6736.36元；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2023年6月7日，被告与锡商银行（下称“贷款人”）签订了《借款合同》（合同编号：PPD10600010525856949，下称“主合同”），由贷款人向被告发放贷款，并形成相应的电子借据。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10600010525856949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7日，贷款人向被告发放贷款人民币12800.00元，贷款期限为12个月，贷款年化利息为6.40%。被告收到贷款后并未按照约定的还款期限偿还贷款本息，构成逾期。担保人遂根据贷款人的要求于2024年3月7日履行了担保义务，向贷款人代偿了贷款本金6502.09元及利息86.89元，合计6588.98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