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李海红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1980年05月20日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黑龙江省牡丹江市西安区海南朝鲜族乡拉南村拉南路349号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23108319800520301X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15734534592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84.81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5000.00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576.67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5661.48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PPD05850000530373669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PPD05850000530373669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牡丹江市西安区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