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熊建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1990年03月22日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南京市浦口区桥林镇西街591号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320122199003221618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15601583916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27579.20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464.24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27579.20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1930.54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29973.98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PPD05800010510721768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PPD05800010510721768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27579.20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464.24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28043.44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浦口区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