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吴桂新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1967年07月13日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江苏省扬州市广陵区文昌中路147号1幢205室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321088196707130497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13952785488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2140.73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57.47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2140.73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189.81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2388.01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2022年05月24日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10001XYFR2022052407411400100471901174LOAN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深圳市中裔信息工程融资担保有限公司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10001XYFR2022052407411400100471901174LOAN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2022年05月24日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3610.00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2140.73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57.47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2198.20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扬州市广陵区人民法院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