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高黎剑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1987年10月11日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杭州市萧山区城厢街道学林尚苑3幢401室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339005198710115113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13357131488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12587.00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538.11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2023年06月05日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2023年06月06日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12587.00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2023年10月07日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1040.53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14165.64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2022年06月02日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武汉众邦银行股份有限公司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10001XYFR2022060209210800100473125454LOAN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深圳市中裔信息工程融资担保有限公司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10001XYFR2022060209210800100473125454LOAN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2022年06月02日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12587.00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7.80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2023年06月05日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12587.00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538.11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13125.11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/>
      <w:r>
        <w:rPr>
          <w:rFonts w:ascii="Arial" w:hAnsi="Arial" w:eastAsia="宋体"/>
        </w:rPr>
        <w:t>杭州市萧山区人民法院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2023年10月07日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U0Zjk0YTkyNmI2NWY2YTg0ODFkZGE4NGIwYWQ3OTM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李智辉</cp:lastModifiedBy>
  <dcterms:modified xsi:type="dcterms:W3CDTF">2023-09-05T07:17:51Z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5BA68B50E6794145AF7C52158EDDC8E0_13</vt:lpwstr>
  </property>
</Properties>
</file>