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22E3" w:rsidRPr="007F0F0D" w:rsidRDefault="00D30C73">
      <w:pPr>
        <w:rPr>
          <w:rFonts w:ascii="Times New Roman" w:hAnsi="Times New Roman" w:cs="Times New Roman"/>
          <w:b/>
          <w:sz w:val="24"/>
          <w:szCs w:val="24"/>
          <w:u w:val="single"/>
        </w:rPr>
      </w:pPr>
      <w:r>
        <w:rPr>
          <w:rFonts w:ascii="Times New Roman" w:hAnsi="Times New Roman" w:cs="Times New Roman"/>
          <w:b/>
          <w:sz w:val="24"/>
          <w:szCs w:val="24"/>
          <w:u w:val="single"/>
        </w:rPr>
        <w:t xml:space="preserve">I)  </w:t>
      </w:r>
      <w:r w:rsidR="00F506AA" w:rsidRPr="007F0F0D">
        <w:rPr>
          <w:rFonts w:ascii="Times New Roman" w:hAnsi="Times New Roman" w:cs="Times New Roman"/>
          <w:b/>
          <w:sz w:val="24"/>
          <w:szCs w:val="24"/>
          <w:u w:val="single"/>
        </w:rPr>
        <w:t>Sequence 1 vs Sequence 1A</w:t>
      </w:r>
    </w:p>
    <w:p w:rsidR="00F506AA" w:rsidRPr="00F506AA" w:rsidRDefault="00D30C73" w:rsidP="000014C8">
      <w:r w:rsidRPr="00F506AA">
        <w:rPr>
          <w:noProof/>
        </w:rPr>
        <w:drawing>
          <wp:anchor distT="0" distB="0" distL="114300" distR="114300" simplePos="0" relativeHeight="251658240" behindDoc="0" locked="0" layoutInCell="1" allowOverlap="1" wp14:anchorId="046B66CB" wp14:editId="2753238F">
            <wp:simplePos x="0" y="0"/>
            <wp:positionH relativeFrom="column">
              <wp:posOffset>370840</wp:posOffset>
            </wp:positionH>
            <wp:positionV relativeFrom="paragraph">
              <wp:posOffset>13335</wp:posOffset>
            </wp:positionV>
            <wp:extent cx="5076825" cy="2538095"/>
            <wp:effectExtent l="0" t="0" r="9525" b="0"/>
            <wp:wrapSquare wrapText="bothSides"/>
            <wp:docPr id="1" name="hitmtImg" descr="http://blast.ncbi.nlm.nih.gov/hitmatrix/hit_matrix.cgi?rid=2WTC1DGE114&amp;width=600&amp;height=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tmtImg" descr="http://blast.ncbi.nlm.nih.gov/hitmatrix/hit_matrix.cgi?rid=2WTC1DGE114&amp;width=600&amp;height=30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76825" cy="25380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014C8" w:rsidRDefault="000014C8" w:rsidP="00F506AA">
      <w:pPr>
        <w:shd w:val="clear" w:color="auto" w:fill="FFFFFF"/>
        <w:spacing w:line="336" w:lineRule="atLeast"/>
      </w:pPr>
      <w:bookmarkStart w:id="0" w:name="sort_mark"/>
      <w:bookmarkEnd w:id="0"/>
    </w:p>
    <w:p w:rsidR="000014C8" w:rsidRDefault="000014C8" w:rsidP="00F506AA">
      <w:pPr>
        <w:shd w:val="clear" w:color="auto" w:fill="FFFFFF"/>
        <w:spacing w:line="336" w:lineRule="atLeast"/>
      </w:pPr>
    </w:p>
    <w:p w:rsidR="000014C8" w:rsidRDefault="000014C8" w:rsidP="00F506AA">
      <w:pPr>
        <w:shd w:val="clear" w:color="auto" w:fill="FFFFFF"/>
        <w:spacing w:line="336" w:lineRule="atLeast"/>
      </w:pPr>
    </w:p>
    <w:p w:rsidR="000014C8" w:rsidRDefault="000014C8" w:rsidP="00F506AA">
      <w:pPr>
        <w:shd w:val="clear" w:color="auto" w:fill="FFFFFF"/>
        <w:spacing w:line="336" w:lineRule="atLeast"/>
      </w:pPr>
    </w:p>
    <w:p w:rsidR="000014C8" w:rsidRDefault="000014C8" w:rsidP="00F506AA">
      <w:pPr>
        <w:shd w:val="clear" w:color="auto" w:fill="FFFFFF"/>
        <w:spacing w:line="336" w:lineRule="atLeast"/>
      </w:pPr>
    </w:p>
    <w:p w:rsidR="000014C8" w:rsidRDefault="000014C8" w:rsidP="00F506AA">
      <w:pPr>
        <w:shd w:val="clear" w:color="auto" w:fill="FFFFFF"/>
        <w:spacing w:line="336" w:lineRule="atLeast"/>
      </w:pPr>
    </w:p>
    <w:p w:rsidR="000014C8" w:rsidRDefault="000014C8" w:rsidP="00F506AA">
      <w:pPr>
        <w:shd w:val="clear" w:color="auto" w:fill="FFFFFF"/>
        <w:spacing w:line="336" w:lineRule="atLeast"/>
      </w:pPr>
    </w:p>
    <w:p w:rsidR="006405C5" w:rsidRPr="006405C5" w:rsidRDefault="007F0F0D" w:rsidP="000014C8">
      <w:pPr>
        <w:shd w:val="clear" w:color="auto" w:fill="FFFFFF"/>
        <w:spacing w:line="480" w:lineRule="auto"/>
        <w:rPr>
          <w:rFonts w:ascii="Times New Roman" w:eastAsia="Times New Roman" w:hAnsi="Times New Roman" w:cs="Times New Roman"/>
          <w:bCs/>
          <w:spacing w:val="-15"/>
          <w:sz w:val="24"/>
          <w:szCs w:val="24"/>
        </w:rPr>
      </w:pPr>
      <w:r>
        <w:rPr>
          <w:rFonts w:ascii="Arial" w:eastAsia="Times New Roman" w:hAnsi="Arial" w:cs="Arial"/>
          <w:b/>
          <w:bCs/>
          <w:color w:val="4D4D4D"/>
          <w:spacing w:val="-15"/>
        </w:rPr>
        <w:tab/>
      </w:r>
      <w:r>
        <w:rPr>
          <w:rFonts w:ascii="Times New Roman" w:eastAsia="Times New Roman" w:hAnsi="Times New Roman" w:cs="Times New Roman"/>
          <w:bCs/>
          <w:spacing w:val="-15"/>
          <w:sz w:val="24"/>
          <w:szCs w:val="24"/>
        </w:rPr>
        <w:t xml:space="preserve">The dot plot </w:t>
      </w:r>
      <w:r w:rsidR="006405C5">
        <w:rPr>
          <w:rFonts w:ascii="Times New Roman" w:eastAsia="Times New Roman" w:hAnsi="Times New Roman" w:cs="Times New Roman"/>
          <w:bCs/>
          <w:spacing w:val="-15"/>
          <w:sz w:val="24"/>
          <w:szCs w:val="24"/>
        </w:rPr>
        <w:t xml:space="preserve">of </w:t>
      </w:r>
      <w:r>
        <w:rPr>
          <w:rFonts w:ascii="Times New Roman" w:eastAsia="Times New Roman" w:hAnsi="Times New Roman" w:cs="Times New Roman"/>
          <w:bCs/>
          <w:spacing w:val="-15"/>
          <w:sz w:val="24"/>
          <w:szCs w:val="24"/>
        </w:rPr>
        <w:t>sequence-1 and sequence -1A represents</w:t>
      </w:r>
      <w:r w:rsidR="006405C5">
        <w:rPr>
          <w:rFonts w:ascii="Times New Roman" w:eastAsia="Times New Roman" w:hAnsi="Times New Roman" w:cs="Times New Roman"/>
          <w:bCs/>
          <w:spacing w:val="-15"/>
          <w:sz w:val="24"/>
          <w:szCs w:val="24"/>
        </w:rPr>
        <w:t xml:space="preserve"> a</w:t>
      </w:r>
      <w:r>
        <w:rPr>
          <w:rFonts w:ascii="Times New Roman" w:eastAsia="Times New Roman" w:hAnsi="Times New Roman" w:cs="Times New Roman"/>
          <w:bCs/>
          <w:spacing w:val="-15"/>
          <w:sz w:val="24"/>
          <w:szCs w:val="24"/>
        </w:rPr>
        <w:t>n alignment with</w:t>
      </w:r>
      <w:r w:rsidR="006405C5">
        <w:rPr>
          <w:rFonts w:ascii="Times New Roman" w:eastAsia="Times New Roman" w:hAnsi="Times New Roman" w:cs="Times New Roman"/>
          <w:bCs/>
          <w:spacing w:val="-15"/>
          <w:sz w:val="24"/>
          <w:szCs w:val="24"/>
        </w:rPr>
        <w:t xml:space="preserve"> </w:t>
      </w:r>
      <w:r w:rsidR="005F1BDB">
        <w:rPr>
          <w:rFonts w:ascii="Times New Roman" w:eastAsia="Times New Roman" w:hAnsi="Times New Roman" w:cs="Times New Roman"/>
          <w:bCs/>
          <w:spacing w:val="-15"/>
          <w:sz w:val="24"/>
          <w:szCs w:val="24"/>
        </w:rPr>
        <w:t xml:space="preserve">a </w:t>
      </w:r>
      <w:r w:rsidR="006405C5">
        <w:rPr>
          <w:rFonts w:ascii="Times New Roman" w:eastAsia="Times New Roman" w:hAnsi="Times New Roman" w:cs="Times New Roman"/>
          <w:bCs/>
          <w:spacing w:val="-15"/>
          <w:sz w:val="24"/>
          <w:szCs w:val="24"/>
        </w:rPr>
        <w:t>high pe</w:t>
      </w:r>
      <w:r>
        <w:rPr>
          <w:rFonts w:ascii="Times New Roman" w:eastAsia="Times New Roman" w:hAnsi="Times New Roman" w:cs="Times New Roman"/>
          <w:bCs/>
          <w:spacing w:val="-15"/>
          <w:sz w:val="24"/>
          <w:szCs w:val="24"/>
        </w:rPr>
        <w:t>rcentage of identical nucleotides at identical</w:t>
      </w:r>
      <w:r w:rsidR="005B5AE5">
        <w:rPr>
          <w:rFonts w:ascii="Times New Roman" w:eastAsia="Times New Roman" w:hAnsi="Times New Roman" w:cs="Times New Roman"/>
          <w:bCs/>
          <w:spacing w:val="-15"/>
          <w:sz w:val="24"/>
          <w:szCs w:val="24"/>
        </w:rPr>
        <w:t xml:space="preserve"> locations</w:t>
      </w:r>
      <w:r w:rsidR="006405C5">
        <w:rPr>
          <w:rFonts w:ascii="Times New Roman" w:eastAsia="Times New Roman" w:hAnsi="Times New Roman" w:cs="Times New Roman"/>
          <w:bCs/>
          <w:spacing w:val="-15"/>
          <w:sz w:val="24"/>
          <w:szCs w:val="24"/>
        </w:rPr>
        <w:t xml:space="preserve">.  The perpendicular anomaly </w:t>
      </w:r>
      <w:r>
        <w:rPr>
          <w:rFonts w:ascii="Times New Roman" w:eastAsia="Times New Roman" w:hAnsi="Times New Roman" w:cs="Times New Roman"/>
          <w:bCs/>
          <w:spacing w:val="-15"/>
          <w:sz w:val="24"/>
          <w:szCs w:val="24"/>
        </w:rPr>
        <w:t>t</w:t>
      </w:r>
      <w:r w:rsidR="006405C5">
        <w:rPr>
          <w:rFonts w:ascii="Times New Roman" w:eastAsia="Times New Roman" w:hAnsi="Times New Roman" w:cs="Times New Roman"/>
          <w:bCs/>
          <w:spacing w:val="-15"/>
          <w:sz w:val="24"/>
          <w:szCs w:val="24"/>
        </w:rPr>
        <w:t>hat begin</w:t>
      </w:r>
      <w:r>
        <w:rPr>
          <w:rFonts w:ascii="Times New Roman" w:eastAsia="Times New Roman" w:hAnsi="Times New Roman" w:cs="Times New Roman"/>
          <w:bCs/>
          <w:spacing w:val="-15"/>
          <w:sz w:val="24"/>
          <w:szCs w:val="24"/>
        </w:rPr>
        <w:t xml:space="preserve">s at roughly </w:t>
      </w:r>
      <w:r w:rsidR="005B5AE5">
        <w:rPr>
          <w:rFonts w:ascii="Times New Roman" w:eastAsia="Times New Roman" w:hAnsi="Times New Roman" w:cs="Times New Roman"/>
          <w:bCs/>
          <w:spacing w:val="-15"/>
          <w:sz w:val="24"/>
          <w:szCs w:val="24"/>
        </w:rPr>
        <w:t>(800,90</w:t>
      </w:r>
      <w:r>
        <w:rPr>
          <w:rFonts w:ascii="Times New Roman" w:eastAsia="Times New Roman" w:hAnsi="Times New Roman" w:cs="Times New Roman"/>
          <w:bCs/>
          <w:spacing w:val="-15"/>
          <w:sz w:val="24"/>
          <w:szCs w:val="24"/>
        </w:rPr>
        <w:t>0) represents an inversion b</w:t>
      </w:r>
      <w:r w:rsidR="005B5AE5">
        <w:rPr>
          <w:rFonts w:ascii="Times New Roman" w:eastAsia="Times New Roman" w:hAnsi="Times New Roman" w:cs="Times New Roman"/>
          <w:bCs/>
          <w:spacing w:val="-15"/>
          <w:sz w:val="24"/>
          <w:szCs w:val="24"/>
        </w:rPr>
        <w:t>etween the sequences.  At the 90</w:t>
      </w:r>
      <w:r>
        <w:rPr>
          <w:rFonts w:ascii="Times New Roman" w:eastAsia="Times New Roman" w:hAnsi="Times New Roman" w:cs="Times New Roman"/>
          <w:bCs/>
          <w:spacing w:val="-15"/>
          <w:sz w:val="24"/>
          <w:szCs w:val="24"/>
        </w:rPr>
        <w:t>0</w:t>
      </w:r>
      <w:r w:rsidRPr="007F0F0D">
        <w:rPr>
          <w:rFonts w:ascii="Times New Roman" w:eastAsia="Times New Roman" w:hAnsi="Times New Roman" w:cs="Times New Roman"/>
          <w:bCs/>
          <w:spacing w:val="-15"/>
          <w:sz w:val="24"/>
          <w:szCs w:val="24"/>
          <w:vertAlign w:val="superscript"/>
        </w:rPr>
        <w:t>th</w:t>
      </w:r>
      <w:r>
        <w:rPr>
          <w:rFonts w:ascii="Times New Roman" w:eastAsia="Times New Roman" w:hAnsi="Times New Roman" w:cs="Times New Roman"/>
          <w:bCs/>
          <w:spacing w:val="-15"/>
          <w:sz w:val="24"/>
          <w:szCs w:val="24"/>
        </w:rPr>
        <w:t xml:space="preserve"> nucleotide</w:t>
      </w:r>
      <w:r w:rsidR="005B5AE5">
        <w:rPr>
          <w:rFonts w:ascii="Times New Roman" w:eastAsia="Times New Roman" w:hAnsi="Times New Roman" w:cs="Times New Roman"/>
          <w:bCs/>
          <w:spacing w:val="-15"/>
          <w:sz w:val="24"/>
          <w:szCs w:val="24"/>
        </w:rPr>
        <w:t>,</w:t>
      </w:r>
      <w:r>
        <w:rPr>
          <w:rFonts w:ascii="Times New Roman" w:eastAsia="Times New Roman" w:hAnsi="Times New Roman" w:cs="Times New Roman"/>
          <w:bCs/>
          <w:spacing w:val="-15"/>
          <w:sz w:val="24"/>
          <w:szCs w:val="24"/>
        </w:rPr>
        <w:t xml:space="preserve"> the sequence represented by the Y axis matches the 800</w:t>
      </w:r>
      <w:r w:rsidRPr="007F0F0D">
        <w:rPr>
          <w:rFonts w:ascii="Times New Roman" w:eastAsia="Times New Roman" w:hAnsi="Times New Roman" w:cs="Times New Roman"/>
          <w:bCs/>
          <w:spacing w:val="-15"/>
          <w:sz w:val="24"/>
          <w:szCs w:val="24"/>
          <w:vertAlign w:val="superscript"/>
        </w:rPr>
        <w:t>th</w:t>
      </w:r>
      <w:r>
        <w:rPr>
          <w:rFonts w:ascii="Times New Roman" w:eastAsia="Times New Roman" w:hAnsi="Times New Roman" w:cs="Times New Roman"/>
          <w:bCs/>
          <w:spacing w:val="-15"/>
          <w:sz w:val="24"/>
          <w:szCs w:val="24"/>
        </w:rPr>
        <w:t xml:space="preserve"> nucleotide in the sequence represented by the axis.  The high pe</w:t>
      </w:r>
      <w:r w:rsidR="005F1BDB">
        <w:rPr>
          <w:rFonts w:ascii="Times New Roman" w:eastAsia="Times New Roman" w:hAnsi="Times New Roman" w:cs="Times New Roman"/>
          <w:bCs/>
          <w:spacing w:val="-15"/>
          <w:sz w:val="24"/>
          <w:szCs w:val="24"/>
        </w:rPr>
        <w:t xml:space="preserve">rcent identity and 90% identical </w:t>
      </w:r>
      <w:r>
        <w:rPr>
          <w:rFonts w:ascii="Times New Roman" w:eastAsia="Times New Roman" w:hAnsi="Times New Roman" w:cs="Times New Roman"/>
          <w:bCs/>
          <w:spacing w:val="-15"/>
          <w:sz w:val="24"/>
          <w:szCs w:val="24"/>
        </w:rPr>
        <w:t>alignment suggest homology.</w:t>
      </w:r>
    </w:p>
    <w:p w:rsidR="00F506AA" w:rsidRPr="007F0F0D" w:rsidRDefault="00D30C73">
      <w:pPr>
        <w:rPr>
          <w:rFonts w:ascii="Times New Roman" w:hAnsi="Times New Roman" w:cs="Times New Roman"/>
          <w:b/>
          <w:sz w:val="24"/>
          <w:szCs w:val="24"/>
          <w:u w:val="single"/>
        </w:rPr>
      </w:pPr>
      <w:r>
        <w:rPr>
          <w:rFonts w:ascii="Times New Roman" w:hAnsi="Times New Roman" w:cs="Times New Roman"/>
          <w:b/>
          <w:sz w:val="24"/>
          <w:szCs w:val="24"/>
          <w:u w:val="single"/>
        </w:rPr>
        <w:t xml:space="preserve">II)  </w:t>
      </w:r>
      <w:r w:rsidR="00F506AA" w:rsidRPr="007F0F0D">
        <w:rPr>
          <w:rFonts w:ascii="Times New Roman" w:hAnsi="Times New Roman" w:cs="Times New Roman"/>
          <w:b/>
          <w:sz w:val="24"/>
          <w:szCs w:val="24"/>
          <w:u w:val="single"/>
        </w:rPr>
        <w:t>Sequence1 vs Sequence1B</w:t>
      </w:r>
    </w:p>
    <w:p w:rsidR="00F506AA" w:rsidRPr="00F506AA" w:rsidRDefault="00F506AA" w:rsidP="00F506AA">
      <w:pPr>
        <w:spacing w:after="0" w:line="265" w:lineRule="atLeast"/>
        <w:jc w:val="center"/>
        <w:rPr>
          <w:rFonts w:ascii="Arial" w:eastAsia="Times New Roman" w:hAnsi="Arial" w:cs="Arial"/>
          <w:color w:val="222222"/>
          <w:sz w:val="19"/>
          <w:szCs w:val="19"/>
        </w:rPr>
      </w:pPr>
      <w:r w:rsidRPr="00F506AA">
        <w:rPr>
          <w:rFonts w:ascii="Arial" w:eastAsia="Times New Roman" w:hAnsi="Arial" w:cs="Arial"/>
          <w:noProof/>
          <w:color w:val="222222"/>
          <w:sz w:val="19"/>
          <w:szCs w:val="19"/>
        </w:rPr>
        <w:drawing>
          <wp:inline distT="0" distB="0" distL="0" distR="0" wp14:anchorId="1E189FAA" wp14:editId="79AA3CE1">
            <wp:extent cx="4924425" cy="2462213"/>
            <wp:effectExtent l="0" t="0" r="0" b="0"/>
            <wp:docPr id="2" name="hitmtImg" descr="http://blast.ncbi.nlm.nih.gov/hitmatrix/hit_matrix.cgi?rid=2WTJGBV311N&amp;width=600&amp;height=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tmtImg" descr="http://blast.ncbi.nlm.nih.gov/hitmatrix/hit_matrix.cgi?rid=2WTJGBV311N&amp;width=600&amp;height=30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43920" cy="2471960"/>
                    </a:xfrm>
                    <a:prstGeom prst="rect">
                      <a:avLst/>
                    </a:prstGeom>
                    <a:noFill/>
                    <a:ln>
                      <a:noFill/>
                    </a:ln>
                  </pic:spPr>
                </pic:pic>
              </a:graphicData>
            </a:graphic>
          </wp:inline>
        </w:drawing>
      </w:r>
    </w:p>
    <w:p w:rsidR="00D30C73" w:rsidRPr="000014C8" w:rsidRDefault="007F0F0D" w:rsidP="000014C8">
      <w:pPr>
        <w:spacing w:line="480" w:lineRule="auto"/>
        <w:rPr>
          <w:rFonts w:ascii="Times New Roman" w:eastAsia="Times New Roman" w:hAnsi="Times New Roman" w:cs="Times New Roman"/>
          <w:bCs/>
          <w:spacing w:val="-15"/>
          <w:sz w:val="24"/>
          <w:szCs w:val="24"/>
        </w:rPr>
      </w:pPr>
      <w:r>
        <w:rPr>
          <w:rFonts w:ascii="Times New Roman" w:eastAsia="Times New Roman" w:hAnsi="Times New Roman" w:cs="Times New Roman"/>
          <w:bCs/>
          <w:spacing w:val="-15"/>
          <w:sz w:val="24"/>
          <w:szCs w:val="24"/>
        </w:rPr>
        <w:tab/>
        <w:t xml:space="preserve">The dot plot of sequence-1 and sequence -1B represents an alignment with high </w:t>
      </w:r>
      <w:r w:rsidR="005F1BDB">
        <w:rPr>
          <w:rFonts w:ascii="Times New Roman" w:eastAsia="Times New Roman" w:hAnsi="Times New Roman" w:cs="Times New Roman"/>
          <w:bCs/>
          <w:spacing w:val="-15"/>
          <w:sz w:val="24"/>
          <w:szCs w:val="24"/>
        </w:rPr>
        <w:t xml:space="preserve">a </w:t>
      </w:r>
      <w:r>
        <w:rPr>
          <w:rFonts w:ascii="Times New Roman" w:eastAsia="Times New Roman" w:hAnsi="Times New Roman" w:cs="Times New Roman"/>
          <w:bCs/>
          <w:spacing w:val="-15"/>
          <w:sz w:val="24"/>
          <w:szCs w:val="24"/>
        </w:rPr>
        <w:t>percentage of identical nucleotides at identical</w:t>
      </w:r>
      <w:r w:rsidR="005F1BDB">
        <w:rPr>
          <w:rFonts w:ascii="Times New Roman" w:eastAsia="Times New Roman" w:hAnsi="Times New Roman" w:cs="Times New Roman"/>
          <w:bCs/>
          <w:spacing w:val="-15"/>
          <w:sz w:val="24"/>
          <w:szCs w:val="24"/>
        </w:rPr>
        <w:t xml:space="preserve"> locations</w:t>
      </w:r>
      <w:r>
        <w:rPr>
          <w:rFonts w:ascii="Times New Roman" w:eastAsia="Times New Roman" w:hAnsi="Times New Roman" w:cs="Times New Roman"/>
          <w:bCs/>
          <w:spacing w:val="-15"/>
          <w:sz w:val="24"/>
          <w:szCs w:val="24"/>
        </w:rPr>
        <w:t>.  The anomaly that begins at roughly (730,730) represents</w:t>
      </w:r>
      <w:r w:rsidR="00D30C73">
        <w:rPr>
          <w:rFonts w:ascii="Times New Roman" w:eastAsia="Times New Roman" w:hAnsi="Times New Roman" w:cs="Times New Roman"/>
          <w:bCs/>
          <w:spacing w:val="-15"/>
          <w:sz w:val="24"/>
          <w:szCs w:val="24"/>
        </w:rPr>
        <w:t xml:space="preserve"> a deletion event</w:t>
      </w:r>
      <w:r>
        <w:rPr>
          <w:rFonts w:ascii="Times New Roman" w:eastAsia="Times New Roman" w:hAnsi="Times New Roman" w:cs="Times New Roman"/>
          <w:bCs/>
          <w:spacing w:val="-15"/>
          <w:sz w:val="24"/>
          <w:szCs w:val="24"/>
        </w:rPr>
        <w:t xml:space="preserve"> between the sequences.  </w:t>
      </w:r>
      <w:r w:rsidR="00D30C73">
        <w:rPr>
          <w:rFonts w:ascii="Times New Roman" w:eastAsia="Times New Roman" w:hAnsi="Times New Roman" w:cs="Times New Roman"/>
          <w:bCs/>
          <w:spacing w:val="-15"/>
          <w:sz w:val="24"/>
          <w:szCs w:val="24"/>
        </w:rPr>
        <w:t>The sequence represented by the Y axis is missing close to 100 nucleotides possessed by the sequence represented by the X axis.  This deletion event causes a shift of the sequential location of the rest of the identical nucleotides between the sequences.  Sequence X contains the same nucleotides as sequence Y separated by roughly 100 non-identical nucleotides.</w:t>
      </w:r>
      <w:r w:rsidR="000014C8" w:rsidRPr="000014C8">
        <w:rPr>
          <w:rFonts w:ascii="Times New Roman" w:eastAsia="Times New Roman" w:hAnsi="Times New Roman" w:cs="Times New Roman"/>
          <w:bCs/>
          <w:spacing w:val="-15"/>
          <w:sz w:val="24"/>
          <w:szCs w:val="24"/>
        </w:rPr>
        <w:t xml:space="preserve"> </w:t>
      </w:r>
      <w:r w:rsidR="000014C8">
        <w:rPr>
          <w:rFonts w:ascii="Times New Roman" w:eastAsia="Times New Roman" w:hAnsi="Times New Roman" w:cs="Times New Roman"/>
          <w:bCs/>
          <w:spacing w:val="-15"/>
          <w:sz w:val="24"/>
          <w:szCs w:val="24"/>
        </w:rPr>
        <w:t>Despite this deletion anomaly the sequences are likely homologous due to the high percent of identical nucleotides at identical locations between the sequences.</w:t>
      </w:r>
    </w:p>
    <w:p w:rsidR="00F506AA" w:rsidRPr="00D30C73" w:rsidRDefault="00D30C73">
      <w:pPr>
        <w:rPr>
          <w:rFonts w:ascii="Times New Roman" w:hAnsi="Times New Roman" w:cs="Times New Roman"/>
          <w:b/>
          <w:sz w:val="24"/>
          <w:szCs w:val="24"/>
          <w:u w:val="single"/>
        </w:rPr>
      </w:pPr>
      <w:r>
        <w:rPr>
          <w:rFonts w:ascii="Times New Roman" w:hAnsi="Times New Roman" w:cs="Times New Roman"/>
          <w:b/>
          <w:sz w:val="24"/>
          <w:szCs w:val="24"/>
          <w:u w:val="single"/>
        </w:rPr>
        <w:t xml:space="preserve">III)  </w:t>
      </w:r>
      <w:r w:rsidR="00F506AA" w:rsidRPr="00D30C73">
        <w:rPr>
          <w:rFonts w:ascii="Times New Roman" w:hAnsi="Times New Roman" w:cs="Times New Roman"/>
          <w:b/>
          <w:sz w:val="24"/>
          <w:szCs w:val="24"/>
          <w:u w:val="single"/>
        </w:rPr>
        <w:t>Sequence1 vs Sequence1C</w:t>
      </w:r>
    </w:p>
    <w:p w:rsidR="00F506AA" w:rsidRPr="00F506AA" w:rsidRDefault="00F506AA" w:rsidP="00F506AA">
      <w:pPr>
        <w:spacing w:after="0" w:line="265" w:lineRule="atLeast"/>
        <w:jc w:val="center"/>
        <w:rPr>
          <w:rFonts w:ascii="Arial" w:eastAsia="Times New Roman" w:hAnsi="Arial" w:cs="Arial"/>
          <w:color w:val="222222"/>
          <w:sz w:val="19"/>
          <w:szCs w:val="19"/>
        </w:rPr>
      </w:pPr>
      <w:r w:rsidRPr="00F506AA">
        <w:rPr>
          <w:rFonts w:ascii="Arial" w:eastAsia="Times New Roman" w:hAnsi="Arial" w:cs="Arial"/>
          <w:noProof/>
          <w:color w:val="222222"/>
          <w:sz w:val="19"/>
          <w:szCs w:val="19"/>
        </w:rPr>
        <w:drawing>
          <wp:inline distT="0" distB="0" distL="0" distR="0" wp14:anchorId="3923A65C" wp14:editId="50A6A7EF">
            <wp:extent cx="5276850" cy="2638425"/>
            <wp:effectExtent l="0" t="0" r="0" b="9525"/>
            <wp:docPr id="3" name="hitmtImg" descr="http://blast.ncbi.nlm.nih.gov/hitmatrix/hit_matrix.cgi?rid=2WTNP1TP11N&amp;width=600&amp;height=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tmtImg" descr="http://blast.ncbi.nlm.nih.gov/hitmatrix/hit_matrix.cgi?rid=2WTNP1TP11N&amp;width=600&amp;height=3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82690" cy="2691345"/>
                    </a:xfrm>
                    <a:prstGeom prst="rect">
                      <a:avLst/>
                    </a:prstGeom>
                    <a:noFill/>
                    <a:ln>
                      <a:noFill/>
                    </a:ln>
                  </pic:spPr>
                </pic:pic>
              </a:graphicData>
            </a:graphic>
          </wp:inline>
        </w:drawing>
      </w:r>
    </w:p>
    <w:p w:rsidR="000014C8" w:rsidRDefault="000014C8" w:rsidP="000014C8">
      <w:pPr>
        <w:spacing w:line="480" w:lineRule="auto"/>
      </w:pPr>
      <w:r>
        <w:rPr>
          <w:rFonts w:ascii="Times New Roman" w:eastAsia="Times New Roman" w:hAnsi="Times New Roman" w:cs="Times New Roman"/>
          <w:bCs/>
          <w:spacing w:val="-15"/>
          <w:sz w:val="24"/>
          <w:szCs w:val="24"/>
        </w:rPr>
        <w:tab/>
        <w:t xml:space="preserve">The dot plot of sequence-1 and sequence -1C represents an alignment with high percentage of identical nucleotides at identical locations between the sequences.  The line represents identical nucleotides at identical locations in the sequence between the samples.  The anomaly that begins at roughly (720,810) represents a deletion event between the sequences.  The sequence represented by the X axis is missing close to 100 nucleotides possessed by the sequence represented by the Y axis.  This deletion event causes a shift of the sequential location of the rest of the identical nucleotides between the sequences.  Sequence Y is composed of the same nucleotides at the same location save for the deletion event that causes misalignment gap of roughly 100 nucleotides between the </w:t>
      </w:r>
      <w:r>
        <w:rPr>
          <w:rFonts w:ascii="Times New Roman" w:eastAsia="Times New Roman" w:hAnsi="Times New Roman" w:cs="Times New Roman"/>
          <w:bCs/>
          <w:spacing w:val="-15"/>
          <w:sz w:val="24"/>
          <w:szCs w:val="24"/>
        </w:rPr>
        <w:lastRenderedPageBreak/>
        <w:t>sequences.  Despite this deletion anomaly</w:t>
      </w:r>
      <w:r w:rsidR="005F1BDB">
        <w:rPr>
          <w:rFonts w:ascii="Times New Roman" w:eastAsia="Times New Roman" w:hAnsi="Times New Roman" w:cs="Times New Roman"/>
          <w:bCs/>
          <w:spacing w:val="-15"/>
          <w:sz w:val="24"/>
          <w:szCs w:val="24"/>
        </w:rPr>
        <w:t>,</w:t>
      </w:r>
      <w:r>
        <w:rPr>
          <w:rFonts w:ascii="Times New Roman" w:eastAsia="Times New Roman" w:hAnsi="Times New Roman" w:cs="Times New Roman"/>
          <w:bCs/>
          <w:spacing w:val="-15"/>
          <w:sz w:val="24"/>
          <w:szCs w:val="24"/>
        </w:rPr>
        <w:t xml:space="preserve"> the sequences are likely homologous due to the high percent of identical nucleotides at identical locations between the sequences.</w:t>
      </w:r>
    </w:p>
    <w:p w:rsidR="005F1BDB" w:rsidRDefault="005F1BDB">
      <w:pPr>
        <w:rPr>
          <w:rFonts w:ascii="Times New Roman" w:hAnsi="Times New Roman" w:cs="Times New Roman"/>
          <w:b/>
          <w:sz w:val="24"/>
          <w:szCs w:val="24"/>
          <w:u w:val="single"/>
        </w:rPr>
      </w:pPr>
    </w:p>
    <w:p w:rsidR="00F506AA" w:rsidRPr="000014C8" w:rsidRDefault="000014C8">
      <w:pPr>
        <w:rPr>
          <w:rFonts w:ascii="Times New Roman" w:hAnsi="Times New Roman" w:cs="Times New Roman"/>
          <w:b/>
          <w:sz w:val="24"/>
          <w:szCs w:val="24"/>
          <w:u w:val="single"/>
        </w:rPr>
      </w:pPr>
      <w:r w:rsidRPr="000014C8">
        <w:rPr>
          <w:rFonts w:ascii="Times New Roman" w:hAnsi="Times New Roman" w:cs="Times New Roman"/>
          <w:b/>
          <w:sz w:val="24"/>
          <w:szCs w:val="24"/>
          <w:u w:val="single"/>
        </w:rPr>
        <w:t xml:space="preserve">IV)  </w:t>
      </w:r>
      <w:r w:rsidR="0008656D" w:rsidRPr="000014C8">
        <w:rPr>
          <w:rFonts w:ascii="Times New Roman" w:hAnsi="Times New Roman" w:cs="Times New Roman"/>
          <w:b/>
          <w:sz w:val="24"/>
          <w:szCs w:val="24"/>
          <w:u w:val="single"/>
        </w:rPr>
        <w:t>Sequence2 vs Sequence2A</w:t>
      </w:r>
    </w:p>
    <w:p w:rsidR="0008656D" w:rsidRPr="0008656D" w:rsidRDefault="0008656D" w:rsidP="0008656D">
      <w:pPr>
        <w:spacing w:after="0" w:line="265" w:lineRule="atLeast"/>
        <w:jc w:val="center"/>
        <w:rPr>
          <w:rFonts w:ascii="Arial" w:eastAsia="Times New Roman" w:hAnsi="Arial" w:cs="Arial"/>
          <w:color w:val="222222"/>
          <w:sz w:val="19"/>
          <w:szCs w:val="19"/>
        </w:rPr>
      </w:pPr>
      <w:r w:rsidRPr="0008656D">
        <w:rPr>
          <w:rFonts w:ascii="Arial" w:eastAsia="Times New Roman" w:hAnsi="Arial" w:cs="Arial"/>
          <w:noProof/>
          <w:color w:val="222222"/>
          <w:sz w:val="19"/>
          <w:szCs w:val="19"/>
        </w:rPr>
        <w:drawing>
          <wp:inline distT="0" distB="0" distL="0" distR="0" wp14:anchorId="584AC4D1" wp14:editId="611F2770">
            <wp:extent cx="5715000" cy="2857500"/>
            <wp:effectExtent l="0" t="0" r="0" b="0"/>
            <wp:docPr id="4" name="hitmtImg" descr="http://blast.ncbi.nlm.nih.gov/hitmatrix/hit_matrix.cgi?rid=2WU30MNN114&amp;width=600&amp;height=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tmtImg" descr="http://blast.ncbi.nlm.nih.gov/hitmatrix/hit_matrix.cgi?rid=2WU30MNN114&amp;width=600&amp;height=3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rsidR="0008656D" w:rsidRDefault="0008656D"/>
    <w:p w:rsidR="00F43FE8" w:rsidRDefault="00F43FE8" w:rsidP="00F43FE8">
      <w:pPr>
        <w:shd w:val="clear" w:color="auto" w:fill="FFFFFF"/>
        <w:spacing w:line="480" w:lineRule="auto"/>
        <w:rPr>
          <w:rFonts w:ascii="Times New Roman" w:eastAsia="Times New Roman" w:hAnsi="Times New Roman" w:cs="Times New Roman"/>
          <w:bCs/>
          <w:spacing w:val="-15"/>
          <w:sz w:val="24"/>
          <w:szCs w:val="24"/>
        </w:rPr>
      </w:pPr>
      <w:r>
        <w:rPr>
          <w:rFonts w:ascii="Times New Roman" w:eastAsia="Times New Roman" w:hAnsi="Times New Roman" w:cs="Times New Roman"/>
          <w:bCs/>
          <w:spacing w:val="-15"/>
          <w:sz w:val="24"/>
          <w:szCs w:val="24"/>
        </w:rPr>
        <w:tab/>
        <w:t>The dot plot of sequence-2 and sequence -2A represents an alignment with high percentage of identical nucleotides at identical locations between the sequences.  The anomaly that begins at roughly (650,750) and is</w:t>
      </w:r>
      <w:r w:rsidRPr="00F43FE8">
        <w:rPr>
          <w:rFonts w:ascii="Times New Roman" w:eastAsia="Times New Roman" w:hAnsi="Times New Roman" w:cs="Times New Roman"/>
          <w:bCs/>
          <w:spacing w:val="-15"/>
          <w:sz w:val="24"/>
          <w:szCs w:val="24"/>
        </w:rPr>
        <w:t xml:space="preserve"> </w:t>
      </w:r>
      <w:r>
        <w:rPr>
          <w:rFonts w:ascii="Times New Roman" w:eastAsia="Times New Roman" w:hAnsi="Times New Roman" w:cs="Times New Roman"/>
          <w:bCs/>
          <w:spacing w:val="-15"/>
          <w:sz w:val="24"/>
          <w:szCs w:val="24"/>
        </w:rPr>
        <w:t>perpendicular to the identity line represents an inversion between the sequences.  The 750</w:t>
      </w:r>
      <w:r w:rsidRPr="007F0F0D">
        <w:rPr>
          <w:rFonts w:ascii="Times New Roman" w:eastAsia="Times New Roman" w:hAnsi="Times New Roman" w:cs="Times New Roman"/>
          <w:bCs/>
          <w:spacing w:val="-15"/>
          <w:sz w:val="24"/>
          <w:szCs w:val="24"/>
          <w:vertAlign w:val="superscript"/>
        </w:rPr>
        <w:t>th</w:t>
      </w:r>
      <w:r>
        <w:rPr>
          <w:rFonts w:ascii="Times New Roman" w:eastAsia="Times New Roman" w:hAnsi="Times New Roman" w:cs="Times New Roman"/>
          <w:bCs/>
          <w:spacing w:val="-15"/>
          <w:sz w:val="24"/>
          <w:szCs w:val="24"/>
        </w:rPr>
        <w:t xml:space="preserve"> nucleotide of the sequence represented by the Y axis matches the 675</w:t>
      </w:r>
      <w:r w:rsidRPr="007F0F0D">
        <w:rPr>
          <w:rFonts w:ascii="Times New Roman" w:eastAsia="Times New Roman" w:hAnsi="Times New Roman" w:cs="Times New Roman"/>
          <w:bCs/>
          <w:spacing w:val="-15"/>
          <w:sz w:val="24"/>
          <w:szCs w:val="24"/>
          <w:vertAlign w:val="superscript"/>
        </w:rPr>
        <w:t>th</w:t>
      </w:r>
      <w:r>
        <w:rPr>
          <w:rFonts w:ascii="Times New Roman" w:eastAsia="Times New Roman" w:hAnsi="Times New Roman" w:cs="Times New Roman"/>
          <w:bCs/>
          <w:spacing w:val="-15"/>
          <w:sz w:val="24"/>
          <w:szCs w:val="24"/>
        </w:rPr>
        <w:t xml:space="preserve"> nucleotide of the sequence represented by the X axis.  The anomaly in the dot plot represents an inversion of roughly 75 nucleotides.  Despite the inversion event, the high percent identity and near perfect alignment between the sequences suggests homology.</w:t>
      </w:r>
    </w:p>
    <w:p w:rsidR="00F43FE8" w:rsidRDefault="00F43FE8" w:rsidP="00F43FE8">
      <w:pPr>
        <w:shd w:val="clear" w:color="auto" w:fill="FFFFFF"/>
        <w:spacing w:line="480" w:lineRule="auto"/>
        <w:rPr>
          <w:rFonts w:ascii="Times New Roman" w:hAnsi="Times New Roman" w:cs="Times New Roman"/>
          <w:b/>
          <w:sz w:val="24"/>
          <w:szCs w:val="24"/>
          <w:u w:val="single"/>
        </w:rPr>
      </w:pPr>
    </w:p>
    <w:p w:rsidR="00F43FE8" w:rsidRDefault="00F43FE8" w:rsidP="00F43FE8">
      <w:pPr>
        <w:shd w:val="clear" w:color="auto" w:fill="FFFFFF"/>
        <w:spacing w:line="480" w:lineRule="auto"/>
        <w:rPr>
          <w:rFonts w:ascii="Times New Roman" w:hAnsi="Times New Roman" w:cs="Times New Roman"/>
          <w:b/>
          <w:sz w:val="24"/>
          <w:szCs w:val="24"/>
          <w:u w:val="single"/>
        </w:rPr>
      </w:pPr>
    </w:p>
    <w:p w:rsidR="00F43FE8" w:rsidRDefault="00F43FE8" w:rsidP="00F43FE8">
      <w:pPr>
        <w:shd w:val="clear" w:color="auto" w:fill="FFFFFF"/>
        <w:spacing w:line="480" w:lineRule="auto"/>
        <w:rPr>
          <w:rFonts w:ascii="Times New Roman" w:hAnsi="Times New Roman" w:cs="Times New Roman"/>
          <w:b/>
          <w:sz w:val="24"/>
          <w:szCs w:val="24"/>
          <w:u w:val="single"/>
        </w:rPr>
      </w:pPr>
    </w:p>
    <w:p w:rsidR="00F43FE8" w:rsidRDefault="00F43FE8" w:rsidP="00F43FE8">
      <w:pPr>
        <w:shd w:val="clear" w:color="auto" w:fill="FFFFFF"/>
        <w:spacing w:line="480" w:lineRule="auto"/>
        <w:rPr>
          <w:rFonts w:ascii="Times New Roman" w:hAnsi="Times New Roman" w:cs="Times New Roman"/>
          <w:b/>
          <w:sz w:val="24"/>
          <w:szCs w:val="24"/>
          <w:u w:val="single"/>
        </w:rPr>
      </w:pPr>
    </w:p>
    <w:p w:rsidR="005F1BDB" w:rsidRDefault="005F1BDB" w:rsidP="00F43FE8">
      <w:pPr>
        <w:shd w:val="clear" w:color="auto" w:fill="FFFFFF"/>
        <w:spacing w:line="480" w:lineRule="auto"/>
        <w:rPr>
          <w:rFonts w:ascii="Times New Roman" w:hAnsi="Times New Roman" w:cs="Times New Roman"/>
          <w:b/>
          <w:sz w:val="24"/>
          <w:szCs w:val="24"/>
          <w:u w:val="single"/>
        </w:rPr>
      </w:pPr>
    </w:p>
    <w:p w:rsidR="005F1BDB" w:rsidRDefault="005F1BDB" w:rsidP="00F43FE8">
      <w:pPr>
        <w:shd w:val="clear" w:color="auto" w:fill="FFFFFF"/>
        <w:spacing w:line="480" w:lineRule="auto"/>
        <w:rPr>
          <w:rFonts w:ascii="Times New Roman" w:hAnsi="Times New Roman" w:cs="Times New Roman"/>
          <w:b/>
          <w:sz w:val="24"/>
          <w:szCs w:val="24"/>
          <w:u w:val="single"/>
        </w:rPr>
      </w:pPr>
    </w:p>
    <w:p w:rsidR="0008656D" w:rsidRPr="00F43FE8" w:rsidRDefault="00F43FE8" w:rsidP="00F43FE8">
      <w:pPr>
        <w:shd w:val="clear" w:color="auto" w:fill="FFFFFF"/>
        <w:spacing w:line="480" w:lineRule="auto"/>
        <w:rPr>
          <w:rFonts w:ascii="Times New Roman" w:eastAsia="Times New Roman" w:hAnsi="Times New Roman" w:cs="Times New Roman"/>
          <w:bCs/>
          <w:spacing w:val="-15"/>
          <w:sz w:val="24"/>
          <w:szCs w:val="24"/>
        </w:rPr>
      </w:pPr>
      <w:r w:rsidRPr="00F43FE8">
        <w:rPr>
          <w:rFonts w:ascii="Times New Roman" w:hAnsi="Times New Roman" w:cs="Times New Roman"/>
          <w:b/>
          <w:sz w:val="24"/>
          <w:szCs w:val="24"/>
          <w:u w:val="single"/>
        </w:rPr>
        <w:t xml:space="preserve">V)  </w:t>
      </w:r>
      <w:r w:rsidR="0008656D" w:rsidRPr="00F43FE8">
        <w:rPr>
          <w:rFonts w:ascii="Times New Roman" w:hAnsi="Times New Roman" w:cs="Times New Roman"/>
          <w:b/>
          <w:sz w:val="24"/>
          <w:szCs w:val="24"/>
          <w:u w:val="single"/>
        </w:rPr>
        <w:t>Sequence2 vs Sequence2B</w:t>
      </w:r>
    </w:p>
    <w:p w:rsidR="000D4CFC" w:rsidRPr="000D4CFC" w:rsidRDefault="000D4CFC" w:rsidP="000D4CFC">
      <w:pPr>
        <w:spacing w:after="0" w:line="265" w:lineRule="atLeast"/>
        <w:jc w:val="center"/>
        <w:rPr>
          <w:rFonts w:ascii="Arial" w:eastAsia="Times New Roman" w:hAnsi="Arial" w:cs="Arial"/>
          <w:color w:val="222222"/>
          <w:sz w:val="19"/>
          <w:szCs w:val="19"/>
        </w:rPr>
      </w:pPr>
      <w:r w:rsidRPr="000D4CFC">
        <w:rPr>
          <w:rFonts w:ascii="Arial" w:eastAsia="Times New Roman" w:hAnsi="Arial" w:cs="Arial"/>
          <w:noProof/>
          <w:color w:val="222222"/>
          <w:sz w:val="19"/>
          <w:szCs w:val="19"/>
        </w:rPr>
        <w:drawing>
          <wp:inline distT="0" distB="0" distL="0" distR="0" wp14:anchorId="6FF13434" wp14:editId="4E84C567">
            <wp:extent cx="5505449" cy="2752725"/>
            <wp:effectExtent l="0" t="0" r="635" b="0"/>
            <wp:docPr id="5" name="hitmtImg" descr="http://blast.ncbi.nlm.nih.gov/hitmatrix/hit_matrix.cgi?rid=2WU6JH8Z11N&amp;width=600&amp;height=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tmtImg" descr="http://blast.ncbi.nlm.nih.gov/hitmatrix/hit_matrix.cgi?rid=2WU6JH8Z11N&amp;width=600&amp;height=3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5237" cy="2772619"/>
                    </a:xfrm>
                    <a:prstGeom prst="rect">
                      <a:avLst/>
                    </a:prstGeom>
                    <a:noFill/>
                    <a:ln>
                      <a:noFill/>
                    </a:ln>
                  </pic:spPr>
                </pic:pic>
              </a:graphicData>
            </a:graphic>
          </wp:inline>
        </w:drawing>
      </w:r>
    </w:p>
    <w:p w:rsidR="000D4CFC" w:rsidRDefault="000D4CFC"/>
    <w:p w:rsidR="000D4CFC" w:rsidRDefault="005B5AE5" w:rsidP="005B5AE5">
      <w:pPr>
        <w:spacing w:line="480" w:lineRule="auto"/>
      </w:pPr>
      <w:r>
        <w:rPr>
          <w:rFonts w:ascii="Times New Roman" w:eastAsia="Times New Roman" w:hAnsi="Times New Roman" w:cs="Times New Roman"/>
          <w:bCs/>
          <w:spacing w:val="-15"/>
          <w:sz w:val="24"/>
          <w:szCs w:val="24"/>
        </w:rPr>
        <w:tab/>
        <w:t>The dot plot of sequence-2 and sequence -2B</w:t>
      </w:r>
      <w:r>
        <w:rPr>
          <w:rFonts w:ascii="Times New Roman" w:eastAsia="Times New Roman" w:hAnsi="Times New Roman" w:cs="Times New Roman"/>
          <w:bCs/>
          <w:spacing w:val="-15"/>
          <w:sz w:val="24"/>
          <w:szCs w:val="24"/>
        </w:rPr>
        <w:t xml:space="preserve"> represents an alignment with </w:t>
      </w:r>
      <w:r>
        <w:rPr>
          <w:rFonts w:ascii="Times New Roman" w:eastAsia="Times New Roman" w:hAnsi="Times New Roman" w:cs="Times New Roman"/>
          <w:bCs/>
          <w:spacing w:val="-15"/>
          <w:sz w:val="24"/>
          <w:szCs w:val="24"/>
        </w:rPr>
        <w:t xml:space="preserve">a </w:t>
      </w:r>
      <w:r>
        <w:rPr>
          <w:rFonts w:ascii="Times New Roman" w:eastAsia="Times New Roman" w:hAnsi="Times New Roman" w:cs="Times New Roman"/>
          <w:bCs/>
          <w:spacing w:val="-15"/>
          <w:sz w:val="24"/>
          <w:szCs w:val="24"/>
        </w:rPr>
        <w:t>high percentage of identical nucleotides at identical lo</w:t>
      </w:r>
      <w:r>
        <w:rPr>
          <w:rFonts w:ascii="Times New Roman" w:eastAsia="Times New Roman" w:hAnsi="Times New Roman" w:cs="Times New Roman"/>
          <w:bCs/>
          <w:spacing w:val="-15"/>
          <w:sz w:val="24"/>
          <w:szCs w:val="24"/>
        </w:rPr>
        <w:t>cations between the sequences</w:t>
      </w:r>
      <w:r>
        <w:rPr>
          <w:rFonts w:ascii="Times New Roman" w:eastAsia="Times New Roman" w:hAnsi="Times New Roman" w:cs="Times New Roman"/>
          <w:bCs/>
          <w:spacing w:val="-15"/>
          <w:sz w:val="24"/>
          <w:szCs w:val="24"/>
        </w:rPr>
        <w:t xml:space="preserve">.  The anomaly that begins at roughly (720,810) represents a deletion event between the sequences.  The sequence represented by the X axis </w:t>
      </w:r>
      <w:r>
        <w:rPr>
          <w:rFonts w:ascii="Times New Roman" w:eastAsia="Times New Roman" w:hAnsi="Times New Roman" w:cs="Times New Roman"/>
          <w:bCs/>
          <w:spacing w:val="-15"/>
          <w:sz w:val="24"/>
          <w:szCs w:val="24"/>
        </w:rPr>
        <w:t>has</w:t>
      </w:r>
      <w:r>
        <w:rPr>
          <w:rFonts w:ascii="Times New Roman" w:eastAsia="Times New Roman" w:hAnsi="Times New Roman" w:cs="Times New Roman"/>
          <w:bCs/>
          <w:spacing w:val="-15"/>
          <w:sz w:val="24"/>
          <w:szCs w:val="24"/>
        </w:rPr>
        <w:t xml:space="preserve"> close to 100 nucleotides </w:t>
      </w:r>
      <w:r>
        <w:rPr>
          <w:rFonts w:ascii="Times New Roman" w:eastAsia="Times New Roman" w:hAnsi="Times New Roman" w:cs="Times New Roman"/>
          <w:bCs/>
          <w:spacing w:val="-15"/>
          <w:sz w:val="24"/>
          <w:szCs w:val="24"/>
        </w:rPr>
        <w:t>that are missing from the</w:t>
      </w:r>
      <w:r>
        <w:rPr>
          <w:rFonts w:ascii="Times New Roman" w:eastAsia="Times New Roman" w:hAnsi="Times New Roman" w:cs="Times New Roman"/>
          <w:bCs/>
          <w:spacing w:val="-15"/>
          <w:sz w:val="24"/>
          <w:szCs w:val="24"/>
        </w:rPr>
        <w:t xml:space="preserve"> sequence represented by the Y axis.  This deletion event causes a shift of the sequential location of the rest of the identical nucleotides be</w:t>
      </w:r>
      <w:r>
        <w:rPr>
          <w:rFonts w:ascii="Times New Roman" w:eastAsia="Times New Roman" w:hAnsi="Times New Roman" w:cs="Times New Roman"/>
          <w:bCs/>
          <w:spacing w:val="-15"/>
          <w:sz w:val="24"/>
          <w:szCs w:val="24"/>
        </w:rPr>
        <w:t>tween the sequences.  Sequence X</w:t>
      </w:r>
      <w:r>
        <w:rPr>
          <w:rFonts w:ascii="Times New Roman" w:eastAsia="Times New Roman" w:hAnsi="Times New Roman" w:cs="Times New Roman"/>
          <w:bCs/>
          <w:spacing w:val="-15"/>
          <w:sz w:val="24"/>
          <w:szCs w:val="24"/>
        </w:rPr>
        <w:t xml:space="preserve"> is composed of the same nucleotides at the same location save for the deletion event that causes misalignment gap of roughly 100 nucleotides between the sequences.  Despite this deletion anomaly</w:t>
      </w:r>
      <w:r w:rsidR="005F1BDB">
        <w:rPr>
          <w:rFonts w:ascii="Times New Roman" w:eastAsia="Times New Roman" w:hAnsi="Times New Roman" w:cs="Times New Roman"/>
          <w:bCs/>
          <w:spacing w:val="-15"/>
          <w:sz w:val="24"/>
          <w:szCs w:val="24"/>
        </w:rPr>
        <w:t>,</w:t>
      </w:r>
      <w:bookmarkStart w:id="1" w:name="_GoBack"/>
      <w:bookmarkEnd w:id="1"/>
      <w:r>
        <w:rPr>
          <w:rFonts w:ascii="Times New Roman" w:eastAsia="Times New Roman" w:hAnsi="Times New Roman" w:cs="Times New Roman"/>
          <w:bCs/>
          <w:spacing w:val="-15"/>
          <w:sz w:val="24"/>
          <w:szCs w:val="24"/>
        </w:rPr>
        <w:t xml:space="preserve"> the sequences are likely homologous due to the high percent of identical nucleotides at identical locations.</w:t>
      </w:r>
    </w:p>
    <w:sectPr w:rsidR="000D4C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6AA"/>
    <w:rsid w:val="000014C8"/>
    <w:rsid w:val="0008656D"/>
    <w:rsid w:val="000D4CFC"/>
    <w:rsid w:val="005B5AE5"/>
    <w:rsid w:val="005F1BDB"/>
    <w:rsid w:val="006405C5"/>
    <w:rsid w:val="007F0F0D"/>
    <w:rsid w:val="00AF2D27"/>
    <w:rsid w:val="00D122E3"/>
    <w:rsid w:val="00D30C73"/>
    <w:rsid w:val="00F43FE8"/>
    <w:rsid w:val="00F50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o:shapedefaults>
    <o:shapelayout v:ext="edit">
      <o:idmap v:ext="edit" data="1"/>
    </o:shapelayout>
  </w:shapeDefaults>
  <w:decimalSymbol w:val="."/>
  <w:listSeparator w:val=","/>
  <w15:chartTrackingRefBased/>
  <w15:docId w15:val="{239AF059-E952-4F2E-B104-178FEBC94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809691">
      <w:bodyDiv w:val="1"/>
      <w:marLeft w:val="0"/>
      <w:marRight w:val="0"/>
      <w:marTop w:val="0"/>
      <w:marBottom w:val="0"/>
      <w:divBdr>
        <w:top w:val="none" w:sz="0" w:space="0" w:color="auto"/>
        <w:left w:val="none" w:sz="0" w:space="0" w:color="auto"/>
        <w:bottom w:val="none" w:sz="0" w:space="0" w:color="auto"/>
        <w:right w:val="none" w:sz="0" w:space="0" w:color="auto"/>
      </w:divBdr>
    </w:div>
    <w:div w:id="341666299">
      <w:bodyDiv w:val="1"/>
      <w:marLeft w:val="0"/>
      <w:marRight w:val="0"/>
      <w:marTop w:val="0"/>
      <w:marBottom w:val="0"/>
      <w:divBdr>
        <w:top w:val="none" w:sz="0" w:space="0" w:color="auto"/>
        <w:left w:val="none" w:sz="0" w:space="0" w:color="auto"/>
        <w:bottom w:val="none" w:sz="0" w:space="0" w:color="auto"/>
        <w:right w:val="none" w:sz="0" w:space="0" w:color="auto"/>
      </w:divBdr>
    </w:div>
    <w:div w:id="457144947">
      <w:bodyDiv w:val="1"/>
      <w:marLeft w:val="0"/>
      <w:marRight w:val="0"/>
      <w:marTop w:val="0"/>
      <w:marBottom w:val="0"/>
      <w:divBdr>
        <w:top w:val="none" w:sz="0" w:space="0" w:color="auto"/>
        <w:left w:val="none" w:sz="0" w:space="0" w:color="auto"/>
        <w:bottom w:val="none" w:sz="0" w:space="0" w:color="auto"/>
        <w:right w:val="none" w:sz="0" w:space="0" w:color="auto"/>
      </w:divBdr>
    </w:div>
    <w:div w:id="743144558">
      <w:bodyDiv w:val="1"/>
      <w:marLeft w:val="0"/>
      <w:marRight w:val="0"/>
      <w:marTop w:val="0"/>
      <w:marBottom w:val="0"/>
      <w:divBdr>
        <w:top w:val="none" w:sz="0" w:space="0" w:color="auto"/>
        <w:left w:val="none" w:sz="0" w:space="0" w:color="auto"/>
        <w:bottom w:val="none" w:sz="0" w:space="0" w:color="auto"/>
        <w:right w:val="none" w:sz="0" w:space="0" w:color="auto"/>
      </w:divBdr>
      <w:divsChild>
        <w:div w:id="947544436">
          <w:marLeft w:val="0"/>
          <w:marRight w:val="0"/>
          <w:marTop w:val="240"/>
          <w:marBottom w:val="0"/>
          <w:divBdr>
            <w:top w:val="none" w:sz="0" w:space="0" w:color="auto"/>
            <w:left w:val="none" w:sz="0" w:space="0" w:color="auto"/>
            <w:bottom w:val="none" w:sz="0" w:space="0" w:color="auto"/>
            <w:right w:val="none" w:sz="0" w:space="0" w:color="auto"/>
          </w:divBdr>
          <w:divsChild>
            <w:div w:id="1493062363">
              <w:marLeft w:val="0"/>
              <w:marRight w:val="0"/>
              <w:marTop w:val="0"/>
              <w:marBottom w:val="0"/>
              <w:divBdr>
                <w:top w:val="none" w:sz="0" w:space="0" w:color="auto"/>
                <w:left w:val="none" w:sz="0" w:space="0" w:color="auto"/>
                <w:bottom w:val="none" w:sz="0" w:space="0" w:color="auto"/>
                <w:right w:val="none" w:sz="0" w:space="0" w:color="auto"/>
              </w:divBdr>
              <w:divsChild>
                <w:div w:id="530529747">
                  <w:marLeft w:val="240"/>
                  <w:marRight w:val="240"/>
                  <w:marTop w:val="48"/>
                  <w:marBottom w:val="120"/>
                  <w:divBdr>
                    <w:top w:val="none" w:sz="0" w:space="0" w:color="auto"/>
                    <w:left w:val="none" w:sz="0" w:space="0" w:color="auto"/>
                    <w:bottom w:val="single" w:sz="6" w:space="6" w:color="CCCCCC"/>
                    <w:right w:val="none" w:sz="0" w:space="0" w:color="auto"/>
                  </w:divBdr>
                </w:div>
              </w:divsChild>
            </w:div>
          </w:divsChild>
        </w:div>
        <w:div w:id="466701885">
          <w:marLeft w:val="0"/>
          <w:marRight w:val="0"/>
          <w:marTop w:val="0"/>
          <w:marBottom w:val="0"/>
          <w:divBdr>
            <w:top w:val="none" w:sz="0" w:space="0" w:color="auto"/>
            <w:left w:val="none" w:sz="0" w:space="0" w:color="auto"/>
            <w:bottom w:val="none" w:sz="0" w:space="0" w:color="auto"/>
            <w:right w:val="none" w:sz="0" w:space="0" w:color="auto"/>
          </w:divBdr>
          <w:divsChild>
            <w:div w:id="153185642">
              <w:marLeft w:val="0"/>
              <w:marRight w:val="0"/>
              <w:marTop w:val="0"/>
              <w:marBottom w:val="0"/>
              <w:divBdr>
                <w:top w:val="none" w:sz="0" w:space="0" w:color="auto"/>
                <w:left w:val="none" w:sz="0" w:space="0" w:color="auto"/>
                <w:bottom w:val="none" w:sz="0" w:space="0" w:color="auto"/>
                <w:right w:val="none" w:sz="0" w:space="0" w:color="auto"/>
              </w:divBdr>
              <w:divsChild>
                <w:div w:id="470366983">
                  <w:marLeft w:val="240"/>
                  <w:marRight w:val="240"/>
                  <w:marTop w:val="48"/>
                  <w:marBottom w:val="120"/>
                  <w:divBdr>
                    <w:top w:val="single" w:sz="6" w:space="6" w:color="CCCCCC"/>
                    <w:left w:val="single" w:sz="6" w:space="6" w:color="CCCCCC"/>
                    <w:bottom w:val="single" w:sz="6" w:space="6" w:color="CCCCCC"/>
                    <w:right w:val="single" w:sz="6" w:space="6" w:color="CCCCCC"/>
                  </w:divBdr>
                  <w:divsChild>
                    <w:div w:id="1876119181">
                      <w:marLeft w:val="240"/>
                      <w:marRight w:val="240"/>
                      <w:marTop w:val="240"/>
                      <w:marBottom w:val="240"/>
                      <w:divBdr>
                        <w:top w:val="single" w:sz="6" w:space="12" w:color="CCCCCC"/>
                        <w:left w:val="single" w:sz="6" w:space="12" w:color="CCCCCC"/>
                        <w:bottom w:val="single" w:sz="6" w:space="12" w:color="CCCCCC"/>
                        <w:right w:val="single" w:sz="6" w:space="12" w:color="CCCCCC"/>
                      </w:divBdr>
                      <w:divsChild>
                        <w:div w:id="121674446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007362333">
      <w:bodyDiv w:val="1"/>
      <w:marLeft w:val="0"/>
      <w:marRight w:val="0"/>
      <w:marTop w:val="0"/>
      <w:marBottom w:val="0"/>
      <w:divBdr>
        <w:top w:val="none" w:sz="0" w:space="0" w:color="auto"/>
        <w:left w:val="none" w:sz="0" w:space="0" w:color="auto"/>
        <w:bottom w:val="none" w:sz="0" w:space="0" w:color="auto"/>
        <w:right w:val="none" w:sz="0" w:space="0" w:color="auto"/>
      </w:divBdr>
    </w:div>
    <w:div w:id="1685353826">
      <w:bodyDiv w:val="1"/>
      <w:marLeft w:val="0"/>
      <w:marRight w:val="0"/>
      <w:marTop w:val="0"/>
      <w:marBottom w:val="0"/>
      <w:divBdr>
        <w:top w:val="none" w:sz="0" w:space="0" w:color="auto"/>
        <w:left w:val="none" w:sz="0" w:space="0" w:color="auto"/>
        <w:bottom w:val="none" w:sz="0" w:space="0" w:color="auto"/>
        <w:right w:val="none" w:sz="0" w:space="0" w:color="auto"/>
      </w:divBdr>
      <w:divsChild>
        <w:div w:id="803431366">
          <w:marLeft w:val="0"/>
          <w:marRight w:val="0"/>
          <w:marTop w:val="0"/>
          <w:marBottom w:val="0"/>
          <w:divBdr>
            <w:top w:val="none" w:sz="0" w:space="0" w:color="auto"/>
            <w:left w:val="none" w:sz="0" w:space="0" w:color="auto"/>
            <w:bottom w:val="none" w:sz="0" w:space="0" w:color="auto"/>
            <w:right w:val="none" w:sz="0" w:space="0" w:color="auto"/>
          </w:divBdr>
          <w:divsChild>
            <w:div w:id="1108043728">
              <w:marLeft w:val="0"/>
              <w:marRight w:val="0"/>
              <w:marTop w:val="0"/>
              <w:marBottom w:val="0"/>
              <w:divBdr>
                <w:top w:val="none" w:sz="0" w:space="0" w:color="auto"/>
                <w:left w:val="none" w:sz="0" w:space="0" w:color="auto"/>
                <w:bottom w:val="none" w:sz="0" w:space="0" w:color="auto"/>
                <w:right w:val="none" w:sz="0" w:space="0" w:color="auto"/>
              </w:divBdr>
              <w:divsChild>
                <w:div w:id="96747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700699">
          <w:marLeft w:val="0"/>
          <w:marRight w:val="840"/>
          <w:marTop w:val="0"/>
          <w:marBottom w:val="0"/>
          <w:divBdr>
            <w:top w:val="single" w:sz="12" w:space="0" w:color="808080"/>
            <w:left w:val="none" w:sz="0" w:space="0" w:color="auto"/>
            <w:bottom w:val="none" w:sz="0" w:space="0" w:color="auto"/>
            <w:right w:val="none" w:sz="0" w:space="0" w:color="auto"/>
          </w:divBdr>
        </w:div>
        <w:div w:id="839077826">
          <w:marLeft w:val="0"/>
          <w:marRight w:val="0"/>
          <w:marTop w:val="240"/>
          <w:marBottom w:val="0"/>
          <w:divBdr>
            <w:top w:val="none" w:sz="0" w:space="0" w:color="auto"/>
            <w:left w:val="none" w:sz="0" w:space="0" w:color="auto"/>
            <w:bottom w:val="none" w:sz="0" w:space="0" w:color="auto"/>
            <w:right w:val="none" w:sz="0" w:space="0" w:color="auto"/>
          </w:divBdr>
          <w:divsChild>
            <w:div w:id="460928478">
              <w:marLeft w:val="0"/>
              <w:marRight w:val="0"/>
              <w:marTop w:val="0"/>
              <w:marBottom w:val="0"/>
              <w:divBdr>
                <w:top w:val="none" w:sz="0" w:space="0" w:color="auto"/>
                <w:left w:val="none" w:sz="0" w:space="0" w:color="auto"/>
                <w:bottom w:val="none" w:sz="0" w:space="0" w:color="auto"/>
                <w:right w:val="none" w:sz="0" w:space="0" w:color="auto"/>
              </w:divBdr>
              <w:divsChild>
                <w:div w:id="992369024">
                  <w:marLeft w:val="0"/>
                  <w:marRight w:val="0"/>
                  <w:marTop w:val="0"/>
                  <w:marBottom w:val="0"/>
                  <w:divBdr>
                    <w:top w:val="none" w:sz="0" w:space="0" w:color="auto"/>
                    <w:left w:val="none" w:sz="0" w:space="0" w:color="auto"/>
                    <w:bottom w:val="none" w:sz="0" w:space="0" w:color="auto"/>
                    <w:right w:val="none" w:sz="0" w:space="0" w:color="auto"/>
                  </w:divBdr>
                </w:div>
              </w:divsChild>
            </w:div>
            <w:div w:id="657534552">
              <w:marLeft w:val="0"/>
              <w:marRight w:val="0"/>
              <w:marTop w:val="0"/>
              <w:marBottom w:val="0"/>
              <w:divBdr>
                <w:top w:val="none" w:sz="0" w:space="0" w:color="auto"/>
                <w:left w:val="none" w:sz="0" w:space="0" w:color="auto"/>
                <w:bottom w:val="none" w:sz="0" w:space="0" w:color="auto"/>
                <w:right w:val="none" w:sz="0" w:space="0" w:color="auto"/>
              </w:divBdr>
            </w:div>
            <w:div w:id="312024876">
              <w:marLeft w:val="0"/>
              <w:marRight w:val="0"/>
              <w:marTop w:val="0"/>
              <w:marBottom w:val="0"/>
              <w:divBdr>
                <w:top w:val="none" w:sz="0" w:space="0" w:color="auto"/>
                <w:left w:val="none" w:sz="0" w:space="0" w:color="auto"/>
                <w:bottom w:val="none" w:sz="0" w:space="0" w:color="auto"/>
                <w:right w:val="none" w:sz="0" w:space="0" w:color="auto"/>
              </w:divBdr>
              <w:divsChild>
                <w:div w:id="188687087">
                  <w:marLeft w:val="0"/>
                  <w:marRight w:val="0"/>
                  <w:marTop w:val="0"/>
                  <w:marBottom w:val="0"/>
                  <w:divBdr>
                    <w:top w:val="none" w:sz="0" w:space="0" w:color="auto"/>
                    <w:left w:val="none" w:sz="0" w:space="0" w:color="auto"/>
                    <w:bottom w:val="none" w:sz="0" w:space="0" w:color="auto"/>
                    <w:right w:val="none" w:sz="0" w:space="0" w:color="auto"/>
                  </w:divBdr>
                </w:div>
              </w:divsChild>
            </w:div>
            <w:div w:id="187237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A61F710D-E467-42AB-8DBE-1ED9D63B3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569</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LabUser</dc:creator>
  <cp:keywords/>
  <dc:description/>
  <cp:lastModifiedBy>Andrew Judell-Halfpenny</cp:lastModifiedBy>
  <cp:revision>2</cp:revision>
  <dcterms:created xsi:type="dcterms:W3CDTF">2015-10-29T22:30:00Z</dcterms:created>
  <dcterms:modified xsi:type="dcterms:W3CDTF">2015-10-29T22:30:00Z</dcterms:modified>
</cp:coreProperties>
</file>