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943" w:rsidRPr="007171BE" w:rsidRDefault="00503943" w:rsidP="00503943">
      <w:pPr>
        <w:keepNext/>
        <w:keepLines/>
        <w:spacing w:before="240"/>
        <w:outlineLvl w:val="0"/>
        <w:rPr>
          <w:rFonts w:ascii="Arial" w:eastAsia="Times New Roman" w:hAnsi="Arial" w:cs="Times New Roman"/>
          <w:b/>
          <w:bCs/>
          <w:sz w:val="32"/>
          <w:szCs w:val="32"/>
        </w:rPr>
      </w:pPr>
      <w:bookmarkStart w:id="0" w:name="supplemental"/>
      <w:r w:rsidRPr="007171BE">
        <w:rPr>
          <w:rFonts w:ascii="Arial" w:eastAsia="Times New Roman" w:hAnsi="Arial" w:cs="Times New Roman"/>
          <w:b/>
          <w:bCs/>
          <w:sz w:val="32"/>
          <w:szCs w:val="32"/>
        </w:rPr>
        <w:t>Supplemental</w:t>
      </w:r>
      <w:bookmarkEnd w:id="0"/>
    </w:p>
    <w:p w:rsidR="00503943" w:rsidRPr="007171BE" w:rsidRDefault="00503943" w:rsidP="00503943">
      <w:pPr>
        <w:keepNext/>
        <w:keepLines/>
        <w:spacing w:before="200"/>
        <w:outlineLvl w:val="1"/>
        <w:rPr>
          <w:rFonts w:ascii="Arial" w:eastAsia="Times New Roman" w:hAnsi="Arial" w:cs="Times New Roman"/>
          <w:b/>
          <w:bCs/>
          <w:sz w:val="32"/>
          <w:szCs w:val="32"/>
        </w:rPr>
      </w:pPr>
      <w:bookmarkStart w:id="1" w:name="container-image-and-reference-data"/>
      <w:r w:rsidRPr="007171BE">
        <w:rPr>
          <w:rFonts w:ascii="Arial" w:eastAsia="Times New Roman" w:hAnsi="Arial" w:cs="Times New Roman"/>
          <w:b/>
          <w:bCs/>
          <w:sz w:val="32"/>
          <w:szCs w:val="32"/>
        </w:rPr>
        <w:t>CONTAINER IMAGE AND REFERENCE DATA</w:t>
      </w:r>
      <w:bookmarkEnd w:id="1"/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The following directory structure must be present on the host machine:</w:t>
      </w:r>
    </w:p>
    <w:p w:rsidR="00503943" w:rsidRPr="007171BE" w:rsidRDefault="00503943" w:rsidP="00503943">
      <w:pPr>
        <w:wordWrap w:val="0"/>
        <w:spacing w:after="200"/>
        <w:rPr>
          <w:rFonts w:ascii="Arial" w:eastAsia="Gill Sans MT" w:hAnsi="Arial" w:cs="Times New Roman"/>
        </w:rPr>
      </w:pPr>
      <w:r w:rsidRPr="007171BE">
        <w:rPr>
          <w:rFonts w:ascii="Consolas" w:eastAsia="Gill Sans MT" w:hAnsi="Consolas" w:cs="Times New Roman"/>
          <w:sz w:val="22"/>
        </w:rPr>
        <w:t>[+]    working_dir/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[+]        configs/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[f]            WES_config.groovy  (optional)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[f]            WGS_config.groovy  (optional)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 ]            [...]  (additional pipeline control scripts)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[+]        fastq/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[+]            normal/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 ]                [...]  (normal fastq.gz files)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[+]            tumor/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 ]                [...]  (tumor fastq.gz files)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[+]        tmp/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[f]        bpipe.config  (optional)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[+]    reference_dir/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[+]        hg19/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 ]            [...]  (hg19 reference files)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[+]        mouse_GRCm38/</w:t>
      </w:r>
      <w:r w:rsidRPr="007171BE">
        <w:rPr>
          <w:rFonts w:ascii="Arial" w:eastAsia="Gill Sans MT" w:hAnsi="Arial" w:cs="Times New Roman"/>
        </w:rPr>
        <w:br/>
      </w:r>
      <w:r w:rsidRPr="007171BE">
        <w:rPr>
          <w:rFonts w:ascii="Consolas" w:eastAsia="Gill Sans MT" w:hAnsi="Consolas" w:cs="Times New Roman"/>
          <w:sz w:val="22"/>
        </w:rPr>
        <w:t>[ ]            [...]  (GRCm38 reference files)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A reference bundle is also available from the software download site; it will expand to the correct directory configuration.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At container launch, the “working” (</w:t>
      </w:r>
      <w:r w:rsidRPr="007171BE">
        <w:rPr>
          <w:rFonts w:ascii="Consolas" w:eastAsia="Gill Sans MT" w:hAnsi="Consolas" w:cs="Times New Roman"/>
          <w:sz w:val="22"/>
        </w:rPr>
        <w:t>working_dir</w:t>
      </w:r>
      <w:r w:rsidRPr="007171BE">
        <w:rPr>
          <w:rFonts w:ascii="Arial" w:eastAsia="Gill Sans MT" w:hAnsi="Arial" w:cs="Times New Roman"/>
        </w:rPr>
        <w:t>) and “reference” (</w:t>
      </w:r>
      <w:r w:rsidRPr="007171BE">
        <w:rPr>
          <w:rFonts w:ascii="Consolas" w:eastAsia="Gill Sans MT" w:hAnsi="Consolas" w:cs="Times New Roman"/>
          <w:sz w:val="22"/>
        </w:rPr>
        <w:t>reference_dir</w:t>
      </w:r>
      <w:r w:rsidRPr="007171BE">
        <w:rPr>
          <w:rFonts w:ascii="Arial" w:eastAsia="Gill Sans MT" w:hAnsi="Arial" w:cs="Times New Roman"/>
        </w:rPr>
        <w:t>) directories should be mounted into the container at specific filesystem paths (</w:t>
      </w:r>
      <w:r w:rsidRPr="007171BE">
        <w:rPr>
          <w:rFonts w:ascii="Consolas" w:eastAsia="Gill Sans MT" w:hAnsi="Consolas" w:cs="Times New Roman"/>
          <w:sz w:val="22"/>
        </w:rPr>
        <w:t>working_dir</w:t>
      </w:r>
      <w:r w:rsidRPr="007171BE">
        <w:rPr>
          <w:rFonts w:ascii="Arial" w:eastAsia="Gill Sans MT" w:hAnsi="Arial" w:cs="Times New Roman"/>
        </w:rPr>
        <w:t xml:space="preserve"> ==&gt; </w:t>
      </w:r>
      <w:r w:rsidRPr="007171BE">
        <w:rPr>
          <w:rFonts w:ascii="Consolas" w:eastAsia="Gill Sans MT" w:hAnsi="Consolas" w:cs="Times New Roman"/>
          <w:sz w:val="22"/>
        </w:rPr>
        <w:t>/Results</w:t>
      </w:r>
      <w:r w:rsidRPr="007171BE">
        <w:rPr>
          <w:rFonts w:ascii="Arial" w:eastAsia="Gill Sans MT" w:hAnsi="Arial" w:cs="Times New Roman"/>
        </w:rPr>
        <w:t xml:space="preserve"> and </w:t>
      </w:r>
      <w:r w:rsidRPr="007171BE">
        <w:rPr>
          <w:rFonts w:ascii="Consolas" w:eastAsia="Gill Sans MT" w:hAnsi="Consolas" w:cs="Times New Roman"/>
          <w:sz w:val="22"/>
        </w:rPr>
        <w:t>reference_dir</w:t>
      </w:r>
      <w:r w:rsidRPr="007171BE">
        <w:rPr>
          <w:rFonts w:ascii="Arial" w:eastAsia="Gill Sans MT" w:hAnsi="Arial" w:cs="Times New Roman"/>
        </w:rPr>
        <w:t xml:space="preserve"> ==&gt; </w:t>
      </w:r>
      <w:r w:rsidRPr="007171BE">
        <w:rPr>
          <w:rFonts w:ascii="Consolas" w:eastAsia="Gill Sans MT" w:hAnsi="Consolas" w:cs="Times New Roman"/>
          <w:sz w:val="22"/>
        </w:rPr>
        <w:t>/ReferenceData</w:t>
      </w:r>
      <w:r w:rsidRPr="007171BE">
        <w:rPr>
          <w:rFonts w:ascii="Arial" w:eastAsia="Gill Sans MT" w:hAnsi="Arial" w:cs="Times New Roman"/>
        </w:rPr>
        <w:t xml:space="preserve">). The </w:t>
      </w:r>
      <w:r w:rsidRPr="007171BE">
        <w:rPr>
          <w:rFonts w:ascii="Consolas" w:eastAsia="Gill Sans MT" w:hAnsi="Consolas" w:cs="Times New Roman"/>
          <w:sz w:val="22"/>
        </w:rPr>
        <w:t>pipeline-start.sh</w:t>
      </w:r>
      <w:r w:rsidRPr="007171BE">
        <w:rPr>
          <w:rFonts w:ascii="Arial" w:eastAsia="Gill Sans MT" w:hAnsi="Arial" w:cs="Times New Roman"/>
        </w:rPr>
        <w:t xml:space="preserve"> script automates this step.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 xml:space="preserve">The </w:t>
      </w:r>
      <w:r w:rsidRPr="007171BE">
        <w:rPr>
          <w:rFonts w:ascii="Arial" w:eastAsia="Gill Sans MT" w:hAnsi="Arial" w:cs="Times New Roman"/>
          <w:i/>
        </w:rPr>
        <w:t>working directory</w:t>
      </w:r>
      <w:r w:rsidRPr="007171BE">
        <w:rPr>
          <w:rFonts w:ascii="Arial" w:eastAsia="Gill Sans MT" w:hAnsi="Arial" w:cs="Times New Roman"/>
        </w:rPr>
        <w:t xml:space="preserve"> should contain a </w:t>
      </w:r>
      <w:r w:rsidRPr="007171BE">
        <w:rPr>
          <w:rFonts w:ascii="Consolas" w:eastAsia="Gill Sans MT" w:hAnsi="Consolas" w:cs="Times New Roman"/>
          <w:sz w:val="22"/>
        </w:rPr>
        <w:t>configs</w:t>
      </w:r>
      <w:r w:rsidRPr="007171BE">
        <w:rPr>
          <w:rFonts w:ascii="Arial" w:eastAsia="Gill Sans MT" w:hAnsi="Arial" w:cs="Times New Roman"/>
        </w:rPr>
        <w:t xml:space="preserve"> directory for custom configuration files, a directory containing the input data for the pipeline, and a </w:t>
      </w:r>
      <w:r w:rsidRPr="007171BE">
        <w:rPr>
          <w:rFonts w:ascii="Consolas" w:eastAsia="Gill Sans MT" w:hAnsi="Consolas" w:cs="Times New Roman"/>
          <w:sz w:val="22"/>
        </w:rPr>
        <w:t>tmp</w:t>
      </w:r>
      <w:r w:rsidRPr="007171BE">
        <w:rPr>
          <w:rFonts w:ascii="Arial" w:eastAsia="Gill Sans MT" w:hAnsi="Arial" w:cs="Times New Roman"/>
        </w:rPr>
        <w:t xml:space="preserve"> directory that will be used by several tools for transient storage.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 xml:space="preserve">For tumor/normal runs, the pipeline must identify the difference between “tumor” inputs and “normal” inputs. By default, simply having the word “tumor” anywhere in the input file’s path marks it as a tumor sample, and having the word “normal” in the path marks a file as a normal sample. The easiest way to organize files to satisfy this requirement is to have the </w:t>
      </w:r>
      <w:r w:rsidRPr="007171BE">
        <w:rPr>
          <w:rFonts w:ascii="Consolas" w:eastAsia="Gill Sans MT" w:hAnsi="Consolas" w:cs="Times New Roman"/>
          <w:sz w:val="22"/>
        </w:rPr>
        <w:t>tumor</w:t>
      </w:r>
      <w:r w:rsidRPr="007171BE">
        <w:rPr>
          <w:rFonts w:ascii="Arial" w:eastAsia="Gill Sans MT" w:hAnsi="Arial" w:cs="Times New Roman"/>
        </w:rPr>
        <w:t xml:space="preserve"> and </w:t>
      </w:r>
      <w:r w:rsidRPr="007171BE">
        <w:rPr>
          <w:rFonts w:ascii="Consolas" w:eastAsia="Gill Sans MT" w:hAnsi="Consolas" w:cs="Times New Roman"/>
          <w:sz w:val="22"/>
        </w:rPr>
        <w:t>normal</w:t>
      </w:r>
      <w:r w:rsidRPr="007171BE">
        <w:rPr>
          <w:rFonts w:ascii="Arial" w:eastAsia="Gill Sans MT" w:hAnsi="Arial" w:cs="Times New Roman"/>
        </w:rPr>
        <w:t xml:space="preserve"> sub-directories of the data directory as shown.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 xml:space="preserve">The pipeline expects paired-read data, with a </w:t>
      </w:r>
      <w:r w:rsidRPr="007171BE">
        <w:rPr>
          <w:rFonts w:ascii="Arial" w:eastAsia="Gill Sans MT" w:hAnsi="Arial" w:cs="Times New Roman"/>
          <w:i/>
        </w:rPr>
        <w:t>fastq</w:t>
      </w:r>
      <w:r w:rsidRPr="007171BE">
        <w:rPr>
          <w:rFonts w:ascii="Arial" w:eastAsia="Gill Sans MT" w:hAnsi="Arial" w:cs="Times New Roman"/>
        </w:rPr>
        <w:t xml:space="preserve"> file for each “end” of the paired read. The naming convention that the pipeline expects by default is that the two paired </w:t>
      </w:r>
      <w:r w:rsidRPr="007171BE">
        <w:rPr>
          <w:rFonts w:ascii="Arial" w:eastAsia="Gill Sans MT" w:hAnsi="Arial" w:cs="Times New Roman"/>
          <w:i/>
        </w:rPr>
        <w:t>fastq</w:t>
      </w:r>
      <w:r w:rsidRPr="007171BE">
        <w:rPr>
          <w:rFonts w:ascii="Arial" w:eastAsia="Gill Sans MT" w:hAnsi="Arial" w:cs="Times New Roman"/>
        </w:rPr>
        <w:t xml:space="preserve"> files will contain “</w:t>
      </w:r>
      <w:r w:rsidRPr="007171BE">
        <w:rPr>
          <w:rFonts w:ascii="Consolas" w:eastAsia="Gill Sans MT" w:hAnsi="Consolas" w:cs="Times New Roman"/>
          <w:sz w:val="22"/>
        </w:rPr>
        <w:t>_R1</w:t>
      </w:r>
      <w:r w:rsidRPr="007171BE">
        <w:rPr>
          <w:rFonts w:ascii="Arial" w:eastAsia="Gill Sans MT" w:hAnsi="Arial" w:cs="Times New Roman"/>
        </w:rPr>
        <w:t>” and “</w:t>
      </w:r>
      <w:r w:rsidRPr="007171BE">
        <w:rPr>
          <w:rFonts w:ascii="Consolas" w:eastAsia="Gill Sans MT" w:hAnsi="Consolas" w:cs="Times New Roman"/>
          <w:sz w:val="22"/>
        </w:rPr>
        <w:t>_R2</w:t>
      </w:r>
      <w:r w:rsidRPr="007171BE">
        <w:rPr>
          <w:rFonts w:ascii="Arial" w:eastAsia="Gill Sans MT" w:hAnsi="Arial" w:cs="Times New Roman"/>
        </w:rPr>
        <w:t xml:space="preserve">”, respectively, in their filenames. So the following pair of files would be recognized: “SAMPLE001_L001_R1.fastq.gz” and “SAMPLE001_L001_R2.fastq.gz” Note that the two names are identical except for the “pair tags” </w:t>
      </w:r>
      <w:r w:rsidRPr="007171BE">
        <w:rPr>
          <w:rFonts w:ascii="Consolas" w:eastAsia="Gill Sans MT" w:hAnsi="Consolas" w:cs="Times New Roman"/>
          <w:sz w:val="22"/>
        </w:rPr>
        <w:t>_R1</w:t>
      </w:r>
      <w:r w:rsidRPr="007171BE">
        <w:rPr>
          <w:rFonts w:ascii="Arial" w:eastAsia="Gill Sans MT" w:hAnsi="Arial" w:cs="Times New Roman"/>
        </w:rPr>
        <w:t xml:space="preserve"> and </w:t>
      </w:r>
      <w:r w:rsidRPr="007171BE">
        <w:rPr>
          <w:rFonts w:ascii="Consolas" w:eastAsia="Gill Sans MT" w:hAnsi="Consolas" w:cs="Times New Roman"/>
          <w:sz w:val="22"/>
        </w:rPr>
        <w:t>_R2</w:t>
      </w:r>
      <w:r w:rsidRPr="007171BE">
        <w:rPr>
          <w:rFonts w:ascii="Arial" w:eastAsia="Gill Sans MT" w:hAnsi="Arial" w:cs="Times New Roman"/>
        </w:rPr>
        <w:t xml:space="preserve">. If file pairs are identified differently, the configuration files “WES_config.groovy” or “WGS_config.groovy” may be customized to indicate the </w:t>
      </w:r>
      <w:r w:rsidRPr="007171BE">
        <w:rPr>
          <w:rFonts w:ascii="Arial" w:eastAsia="Gill Sans MT" w:hAnsi="Arial" w:cs="Times New Roman"/>
        </w:rPr>
        <w:lastRenderedPageBreak/>
        <w:t xml:space="preserve">correct pattern. Default versions of these files may be retrieved in the running container with the </w:t>
      </w:r>
      <w:r w:rsidRPr="007171BE">
        <w:rPr>
          <w:rFonts w:ascii="Consolas" w:eastAsia="Gill Sans MT" w:hAnsi="Consolas" w:cs="Times New Roman"/>
          <w:sz w:val="22"/>
        </w:rPr>
        <w:t>get-pipeline-config</w:t>
      </w:r>
      <w:r w:rsidRPr="007171BE">
        <w:rPr>
          <w:rFonts w:ascii="Arial" w:eastAsia="Gill Sans MT" w:hAnsi="Arial" w:cs="Times New Roman"/>
        </w:rPr>
        <w:t xml:space="preserve"> command.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</w:p>
    <w:p w:rsidR="00503943" w:rsidRPr="007171BE" w:rsidRDefault="00503943" w:rsidP="00503943">
      <w:pPr>
        <w:keepNext/>
        <w:keepLines/>
        <w:spacing w:before="200"/>
        <w:outlineLvl w:val="1"/>
        <w:rPr>
          <w:rFonts w:ascii="Arial" w:eastAsia="Times New Roman" w:hAnsi="Arial" w:cs="Times New Roman"/>
          <w:b/>
          <w:bCs/>
          <w:sz w:val="32"/>
          <w:szCs w:val="32"/>
        </w:rPr>
      </w:pPr>
      <w:r w:rsidRPr="007171BE">
        <w:rPr>
          <w:rFonts w:ascii="Arial" w:eastAsia="Times New Roman" w:hAnsi="Arial" w:cs="Times New Roman"/>
          <w:b/>
          <w:bCs/>
          <w:sz w:val="32"/>
          <w:szCs w:val="32"/>
        </w:rPr>
        <w:t>VCF CONSENSUS AND MERGING</w:t>
      </w:r>
    </w:p>
    <w:p w:rsidR="001A3065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bookmarkStart w:id="2" w:name="_GoBack"/>
      <w:r w:rsidRPr="007171BE">
        <w:rPr>
          <w:rFonts w:ascii="Arial" w:eastAsia="Gill Sans MT" w:hAnsi="Arial" w:cs="Times New Roman"/>
        </w:rPr>
        <w:t xml:space="preserve">The pipeline is configured to produce consensus VCF outputs in addition to the outputs </w:t>
      </w:r>
      <w:bookmarkEnd w:id="2"/>
      <w:r w:rsidRPr="007171BE">
        <w:rPr>
          <w:rFonts w:ascii="Arial" w:eastAsia="Gill Sans MT" w:hAnsi="Arial" w:cs="Times New Roman"/>
        </w:rPr>
        <w:t xml:space="preserve">normally produced by each of the included variant callers.  The following consensus outputs are produced:  Union of all small variant caller outputs (“consensus:union” available in WES and WGS modes), Intersection of all small variant caller outputs (“consensus:intersection” available in WES and WGS modes),  Union of all structural variant callers (“consensus:sv_union”, WGS mode only), Intersection of all structural variant callers (“consensus:sv_intersection”), Union of the “consensus:union” and “consensus:sv_union” call sets (“consensus:union:union”, WGS only), and Union of the “consensus:intersection” and “consensus:sv_union” call set (“consensus:intersection:union”, WGS only).  Since some structural variants cannot be represented effectively in VCF format, we recommend also </w:t>
      </w:r>
      <w:r w:rsidR="00B70745" w:rsidRPr="007171BE">
        <w:rPr>
          <w:rFonts w:ascii="Arial" w:eastAsia="Gill Sans MT" w:hAnsi="Arial" w:cs="Times New Roman"/>
        </w:rPr>
        <w:t>examining</w:t>
      </w:r>
      <w:r w:rsidRPr="007171BE">
        <w:rPr>
          <w:rFonts w:ascii="Arial" w:eastAsia="Gill Sans MT" w:hAnsi="Arial" w:cs="Times New Roman"/>
        </w:rPr>
        <w:t xml:space="preserve"> the raw outputs of each of</w:t>
      </w:r>
      <w:r w:rsidR="00E63AC9" w:rsidRPr="007171BE">
        <w:rPr>
          <w:rFonts w:ascii="Arial" w:eastAsia="Gill Sans MT" w:hAnsi="Arial" w:cs="Times New Roman"/>
        </w:rPr>
        <w:t xml:space="preserve"> the structural variant callers, which are retained in the “structural_variants” output directory.</w:t>
      </w:r>
      <w:r w:rsidRPr="007171BE">
        <w:rPr>
          <w:rFonts w:ascii="Arial" w:eastAsia="Gill Sans MT" w:hAnsi="Arial" w:cs="Times New Roman"/>
        </w:rPr>
        <w:t xml:space="preserve">  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The process for producing each of the consensus outputs is detailed below.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  <w:b/>
        </w:rPr>
      </w:pPr>
      <w:r w:rsidRPr="007171BE">
        <w:rPr>
          <w:rFonts w:ascii="Arial" w:eastAsia="Gill Sans MT" w:hAnsi="Arial" w:cs="Times New Roman"/>
          <w:b/>
        </w:rPr>
        <w:t>consensus:union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The small variant union is produced by the method:</w:t>
      </w:r>
    </w:p>
    <w:p w:rsidR="00503943" w:rsidRPr="007171BE" w:rsidRDefault="00503943" w:rsidP="009348D6">
      <w:pPr>
        <w:pStyle w:val="ListParagraph"/>
        <w:numPr>
          <w:ilvl w:val="4"/>
          <w:numId w:val="6"/>
        </w:numPr>
        <w:tabs>
          <w:tab w:val="clear" w:pos="2880"/>
          <w:tab w:val="num" w:pos="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Copy all VCF outputs from the small variant callers to a single directory.</w:t>
      </w:r>
    </w:p>
    <w:p w:rsidR="00503943" w:rsidRPr="007171BE" w:rsidRDefault="00F67B9D" w:rsidP="009348D6">
      <w:pPr>
        <w:pStyle w:val="ListParagraph"/>
        <w:numPr>
          <w:ilvl w:val="4"/>
          <w:numId w:val="6"/>
        </w:numPr>
        <w:tabs>
          <w:tab w:val="clear" w:pos="2880"/>
          <w:tab w:val="num" w:pos="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Run</w:t>
      </w:r>
      <w:r w:rsidR="00503943" w:rsidRPr="007171BE">
        <w:rPr>
          <w:rFonts w:ascii="Arial" w:eastAsia="Gill Sans MT" w:hAnsi="Arial" w:cs="Times New Roman"/>
        </w:rPr>
        <w:t xml:space="preserve"> Jacquard to merge all VCFs in the directory and produce an intermediate output VCF.</w:t>
      </w:r>
    </w:p>
    <w:p w:rsidR="00503943" w:rsidRPr="007171BE" w:rsidRDefault="00F67B9D" w:rsidP="009348D6">
      <w:pPr>
        <w:pStyle w:val="ListParagraph"/>
        <w:numPr>
          <w:ilvl w:val="4"/>
          <w:numId w:val="6"/>
        </w:numPr>
        <w:tabs>
          <w:tab w:val="clear" w:pos="2880"/>
          <w:tab w:val="num" w:pos="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 xml:space="preserve">Correct the format of Jacquard’s output VCF to match the input requirements of Picard SortVcf by running custom Python scripts. </w:t>
      </w:r>
      <w:r w:rsidR="00503943" w:rsidRPr="007171BE">
        <w:rPr>
          <w:rFonts w:ascii="Arial" w:eastAsia="Gill Sans MT" w:hAnsi="Arial" w:cs="Times New Roman"/>
        </w:rPr>
        <w:t>(These scripts are available in the ‘/usr/local/lib’ directory of the container image.)</w:t>
      </w:r>
    </w:p>
    <w:p w:rsidR="00503943" w:rsidRPr="007171BE" w:rsidRDefault="00503943" w:rsidP="009348D6">
      <w:pPr>
        <w:pStyle w:val="ListParagraph"/>
        <w:numPr>
          <w:ilvl w:val="4"/>
          <w:numId w:val="6"/>
        </w:numPr>
        <w:tabs>
          <w:tab w:val="clear" w:pos="2880"/>
          <w:tab w:val="num" w:pos="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Run Picard Tools SortVcf on the intermediate VCF file to produce a sorted VCF file.  This file is the output of the “consensus:union” method.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  <w:b/>
        </w:rPr>
      </w:pPr>
      <w:r w:rsidRPr="007171BE">
        <w:rPr>
          <w:rFonts w:ascii="Arial" w:eastAsia="Gill Sans MT" w:hAnsi="Arial" w:cs="Times New Roman"/>
          <w:b/>
        </w:rPr>
        <w:t>consensus:intersection</w:t>
      </w:r>
    </w:p>
    <w:p w:rsidR="00503943" w:rsidRPr="007171BE" w:rsidRDefault="00503943" w:rsidP="0050394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The small variant intersection is produced by the method:</w:t>
      </w:r>
    </w:p>
    <w:p w:rsidR="00503943" w:rsidRPr="007171BE" w:rsidRDefault="004B362F" w:rsidP="00345353">
      <w:pPr>
        <w:numPr>
          <w:ilvl w:val="1"/>
          <w:numId w:val="5"/>
        </w:numPr>
        <w:tabs>
          <w:tab w:val="clear" w:pos="72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Using the “consensus:union” VCF as input, run GATK SelectVariants to select the intersection.  The output of this step is the output of the “consensus:intersection” method.</w:t>
      </w:r>
    </w:p>
    <w:p w:rsidR="00503943" w:rsidRPr="007171BE" w:rsidRDefault="0030639E" w:rsidP="00503943">
      <w:pPr>
        <w:spacing w:before="180" w:after="180"/>
        <w:rPr>
          <w:rFonts w:ascii="Arial" w:eastAsia="Gill Sans MT" w:hAnsi="Arial" w:cs="Times New Roman"/>
          <w:b/>
        </w:rPr>
      </w:pPr>
      <w:r w:rsidRPr="007171BE">
        <w:rPr>
          <w:rFonts w:ascii="Arial" w:eastAsia="Gill Sans MT" w:hAnsi="Arial" w:cs="Times New Roman"/>
          <w:b/>
        </w:rPr>
        <w:t>consensus:sv_union</w:t>
      </w:r>
    </w:p>
    <w:p w:rsidR="00FB3EA7" w:rsidRPr="007171BE" w:rsidRDefault="00FB3EA7" w:rsidP="00FB3EA7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The structural variant union is produced by the method:</w:t>
      </w:r>
    </w:p>
    <w:p w:rsidR="0030639E" w:rsidRPr="007171BE" w:rsidRDefault="00FB3EA7" w:rsidP="00345353">
      <w:pPr>
        <w:pStyle w:val="ListParagraph"/>
        <w:numPr>
          <w:ilvl w:val="2"/>
          <w:numId w:val="4"/>
        </w:numPr>
        <w:tabs>
          <w:tab w:val="clear" w:pos="144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Using GATK CombineVariants, create the union of each VCF representation of each structural variant caller.  The output of this step is the output of the “consensus:sv_union” method.</w:t>
      </w:r>
    </w:p>
    <w:p w:rsidR="0030639E" w:rsidRPr="007171BE" w:rsidRDefault="0030639E" w:rsidP="0030639E">
      <w:pPr>
        <w:spacing w:before="180" w:after="180"/>
        <w:rPr>
          <w:rFonts w:ascii="Arial" w:eastAsia="Gill Sans MT" w:hAnsi="Arial" w:cs="Times New Roman"/>
          <w:b/>
        </w:rPr>
      </w:pPr>
      <w:r w:rsidRPr="007171BE">
        <w:rPr>
          <w:rFonts w:ascii="Arial" w:eastAsia="Gill Sans MT" w:hAnsi="Arial" w:cs="Times New Roman"/>
          <w:b/>
        </w:rPr>
        <w:lastRenderedPageBreak/>
        <w:t>consensus:sv_intersection</w:t>
      </w:r>
    </w:p>
    <w:p w:rsidR="00345353" w:rsidRPr="007171BE" w:rsidRDefault="00345353" w:rsidP="00345353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The structural variant intersection is produced by the method:</w:t>
      </w:r>
    </w:p>
    <w:p w:rsidR="0030639E" w:rsidRPr="007171BE" w:rsidRDefault="00A7685D" w:rsidP="00176766">
      <w:pPr>
        <w:pStyle w:val="ListParagraph"/>
        <w:numPr>
          <w:ilvl w:val="3"/>
          <w:numId w:val="3"/>
        </w:numPr>
        <w:tabs>
          <w:tab w:val="clear" w:pos="216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Using the output of “consensus:sv_union” as input, use GATK SelectVariants to select the intersection.  The output of this step is the output of the “consensus:sv_intersection” method.</w:t>
      </w:r>
      <w:r w:rsidR="00345353" w:rsidRPr="007171BE">
        <w:rPr>
          <w:rFonts w:ascii="Arial" w:eastAsia="Gill Sans MT" w:hAnsi="Arial" w:cs="Times New Roman"/>
        </w:rPr>
        <w:t xml:space="preserve"> </w:t>
      </w:r>
    </w:p>
    <w:p w:rsidR="0030639E" w:rsidRPr="007171BE" w:rsidRDefault="0030639E" w:rsidP="0030639E">
      <w:pPr>
        <w:spacing w:before="180" w:after="180"/>
        <w:rPr>
          <w:rFonts w:ascii="Arial" w:eastAsia="Gill Sans MT" w:hAnsi="Arial" w:cs="Times New Roman"/>
          <w:b/>
        </w:rPr>
      </w:pPr>
      <w:r w:rsidRPr="007171BE">
        <w:rPr>
          <w:rFonts w:ascii="Arial" w:eastAsia="Gill Sans MT" w:hAnsi="Arial" w:cs="Times New Roman"/>
          <w:b/>
        </w:rPr>
        <w:t>consensus:union-union</w:t>
      </w:r>
    </w:p>
    <w:p w:rsidR="00222B0A" w:rsidRPr="007171BE" w:rsidRDefault="00222B0A" w:rsidP="00222B0A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The union of the “consensus:union” and “consensus:sv_union” sets is produced by the method:</w:t>
      </w:r>
    </w:p>
    <w:p w:rsidR="00C204FD" w:rsidRPr="007171BE" w:rsidRDefault="00F67B9D" w:rsidP="0030639E">
      <w:pPr>
        <w:pStyle w:val="ListParagraph"/>
        <w:numPr>
          <w:ilvl w:val="4"/>
          <w:numId w:val="6"/>
        </w:numPr>
        <w:tabs>
          <w:tab w:val="clear" w:pos="2880"/>
          <w:tab w:val="num" w:pos="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Copy the VCF output from “consensus:union” and “consensus:sv_union” into a temporary directory.</w:t>
      </w:r>
    </w:p>
    <w:p w:rsidR="0030639E" w:rsidRPr="007171BE" w:rsidRDefault="00C204FD" w:rsidP="00527549">
      <w:pPr>
        <w:pStyle w:val="ListParagraph"/>
        <w:numPr>
          <w:ilvl w:val="4"/>
          <w:numId w:val="6"/>
        </w:numPr>
        <w:tabs>
          <w:tab w:val="clear" w:pos="2880"/>
          <w:tab w:val="num" w:pos="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 xml:space="preserve">Correct the format of Jacquard’s output VCF to </w:t>
      </w:r>
      <w:r w:rsidR="008522CC" w:rsidRPr="007171BE">
        <w:rPr>
          <w:rFonts w:ascii="Arial" w:eastAsia="Gill Sans MT" w:hAnsi="Arial" w:cs="Times New Roman"/>
        </w:rPr>
        <w:t>match VCF format standards by running a custom Python script.  (This script is</w:t>
      </w:r>
      <w:r w:rsidRPr="007171BE">
        <w:rPr>
          <w:rFonts w:ascii="Arial" w:eastAsia="Gill Sans MT" w:hAnsi="Arial" w:cs="Times New Roman"/>
        </w:rPr>
        <w:t xml:space="preserve"> available in the ‘/usr/local/lib’ directory of the container image.)</w:t>
      </w:r>
      <w:r w:rsidR="00527549" w:rsidRPr="007171BE">
        <w:rPr>
          <w:rFonts w:ascii="Arial" w:eastAsia="Gill Sans MT" w:hAnsi="Arial" w:cs="Times New Roman"/>
        </w:rPr>
        <w:t xml:space="preserve">  The output of this stage is the output of the “consensus:union-union” method.</w:t>
      </w:r>
    </w:p>
    <w:p w:rsidR="0030639E" w:rsidRPr="007171BE" w:rsidRDefault="0030639E" w:rsidP="0030639E">
      <w:pPr>
        <w:spacing w:before="180" w:after="180"/>
        <w:rPr>
          <w:rFonts w:ascii="Arial" w:eastAsia="Gill Sans MT" w:hAnsi="Arial" w:cs="Times New Roman"/>
          <w:b/>
        </w:rPr>
      </w:pPr>
      <w:r w:rsidRPr="007171BE">
        <w:rPr>
          <w:rFonts w:ascii="Arial" w:eastAsia="Gill Sans MT" w:hAnsi="Arial" w:cs="Times New Roman"/>
          <w:b/>
        </w:rPr>
        <w:t>consensus:intersection-union</w:t>
      </w:r>
    </w:p>
    <w:p w:rsidR="00E26D71" w:rsidRPr="007171BE" w:rsidRDefault="00E26D71" w:rsidP="00E26D71">
      <w:pPr>
        <w:spacing w:before="180" w:after="18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The union of the “consensus:intersection” and “consensus:sv_union” sets is produced by the method:</w:t>
      </w:r>
    </w:p>
    <w:p w:rsidR="00E26D71" w:rsidRPr="007171BE" w:rsidRDefault="00E26D71" w:rsidP="00E26D71">
      <w:pPr>
        <w:pStyle w:val="ListParagraph"/>
        <w:numPr>
          <w:ilvl w:val="5"/>
          <w:numId w:val="7"/>
        </w:numPr>
        <w:tabs>
          <w:tab w:val="clear" w:pos="3600"/>
          <w:tab w:val="num" w:pos="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Copy the VCF output from “consensus:intersection” and “consensus:sv_union” into a temporary directory.</w:t>
      </w:r>
    </w:p>
    <w:p w:rsidR="00E26D71" w:rsidRPr="007171BE" w:rsidRDefault="00E26D71" w:rsidP="00E26D71">
      <w:pPr>
        <w:pStyle w:val="ListParagraph"/>
        <w:numPr>
          <w:ilvl w:val="5"/>
          <w:numId w:val="7"/>
        </w:numPr>
        <w:tabs>
          <w:tab w:val="clear" w:pos="3600"/>
          <w:tab w:val="num" w:pos="0"/>
        </w:tabs>
        <w:spacing w:before="180" w:after="180"/>
        <w:ind w:left="450"/>
        <w:rPr>
          <w:rFonts w:ascii="Arial" w:eastAsia="Gill Sans MT" w:hAnsi="Arial" w:cs="Times New Roman"/>
        </w:rPr>
      </w:pPr>
      <w:r w:rsidRPr="007171BE">
        <w:rPr>
          <w:rFonts w:ascii="Arial" w:eastAsia="Gill Sans MT" w:hAnsi="Arial" w:cs="Times New Roman"/>
        </w:rPr>
        <w:t>Correct the format of Jacquard’s output VCF to match VCF format standards by running a custom Python script.  (This script is available in the ‘/usr/local/lib’ directory of the container image.)  The output of this stage is the output of the “consensus:intersection-union” method.</w:t>
      </w:r>
    </w:p>
    <w:p w:rsidR="000C0E9A" w:rsidRPr="007171BE" w:rsidRDefault="000C0E9A" w:rsidP="000D1C18">
      <w:pPr>
        <w:pStyle w:val="BodyText"/>
        <w:tabs>
          <w:tab w:val="num" w:pos="0"/>
        </w:tabs>
      </w:pPr>
    </w:p>
    <w:sectPr w:rsidR="000C0E9A" w:rsidRPr="007171BE" w:rsidSect="0051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594D3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5DE2562"/>
    <w:multiLevelType w:val="multilevel"/>
    <w:tmpl w:val="9594D3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2103AC6"/>
    <w:multiLevelType w:val="multilevel"/>
    <w:tmpl w:val="9594D3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A59222C"/>
    <w:multiLevelType w:val="multilevel"/>
    <w:tmpl w:val="9594D3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A96495A"/>
    <w:multiLevelType w:val="multilevel"/>
    <w:tmpl w:val="9594D3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D2543C5"/>
    <w:multiLevelType w:val="multilevel"/>
    <w:tmpl w:val="9594D3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64682C74"/>
    <w:multiLevelType w:val="multilevel"/>
    <w:tmpl w:val="9594D3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B037676"/>
    <w:multiLevelType w:val="multilevel"/>
    <w:tmpl w:val="9594D3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43"/>
    <w:rsid w:val="000C0E9A"/>
    <w:rsid w:val="000D1C18"/>
    <w:rsid w:val="00176766"/>
    <w:rsid w:val="00195ADD"/>
    <w:rsid w:val="001A3065"/>
    <w:rsid w:val="00222B0A"/>
    <w:rsid w:val="00274EDE"/>
    <w:rsid w:val="0030639E"/>
    <w:rsid w:val="00345353"/>
    <w:rsid w:val="00354344"/>
    <w:rsid w:val="004B362F"/>
    <w:rsid w:val="004C4CD4"/>
    <w:rsid w:val="00503943"/>
    <w:rsid w:val="00516F0B"/>
    <w:rsid w:val="00527549"/>
    <w:rsid w:val="00580557"/>
    <w:rsid w:val="00702667"/>
    <w:rsid w:val="007171BE"/>
    <w:rsid w:val="00795DA1"/>
    <w:rsid w:val="008522CC"/>
    <w:rsid w:val="008A0E8C"/>
    <w:rsid w:val="008D4F46"/>
    <w:rsid w:val="009035AE"/>
    <w:rsid w:val="009348D6"/>
    <w:rsid w:val="00A7685D"/>
    <w:rsid w:val="00A84775"/>
    <w:rsid w:val="00B54B33"/>
    <w:rsid w:val="00B70745"/>
    <w:rsid w:val="00C204FD"/>
    <w:rsid w:val="00C21449"/>
    <w:rsid w:val="00CA5EBF"/>
    <w:rsid w:val="00CF49A9"/>
    <w:rsid w:val="00D13842"/>
    <w:rsid w:val="00E26D71"/>
    <w:rsid w:val="00E63AC9"/>
    <w:rsid w:val="00F67B9D"/>
    <w:rsid w:val="00F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1E02640A-6CC5-444F-A2A8-F70B114D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4CD4"/>
    <w:rPr>
      <w:rFonts w:ascii="Times New Roman" w:hAnsi="Times New Roman"/>
    </w:rPr>
  </w:style>
  <w:style w:type="paragraph" w:styleId="Heading1">
    <w:name w:val="heading 1"/>
    <w:aliases w:val="new"/>
    <w:basedOn w:val="Normal"/>
    <w:next w:val="Normal"/>
    <w:link w:val="Heading1Char"/>
    <w:autoRedefine/>
    <w:uiPriority w:val="9"/>
    <w:qFormat/>
    <w:rsid w:val="004C4CD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CF49A9"/>
    <w:rPr>
      <w:rFonts w:cs="Arial"/>
    </w:rPr>
  </w:style>
  <w:style w:type="character" w:customStyle="1" w:styleId="Heading1Char">
    <w:name w:val="Heading 1 Char"/>
    <w:aliases w:val="new Char"/>
    <w:basedOn w:val="DefaultParagraphFont"/>
    <w:link w:val="Heading1"/>
    <w:uiPriority w:val="9"/>
    <w:rsid w:val="004C4CD4"/>
    <w:rPr>
      <w:rFonts w:ascii="Times New Roman" w:eastAsiaTheme="majorEastAsia" w:hAnsi="Times New Roman" w:cstheme="majorBidi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9035A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9035AE"/>
    <w:rPr>
      <w:rFonts w:ascii="Arial" w:hAnsi="Arial"/>
    </w:rPr>
  </w:style>
  <w:style w:type="paragraph" w:styleId="Title">
    <w:name w:val="Title"/>
    <w:basedOn w:val="Normal"/>
    <w:next w:val="BodyText"/>
    <w:link w:val="TitleChar"/>
    <w:qFormat/>
    <w:rsid w:val="00B54B33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70C0"/>
      <w:sz w:val="32"/>
      <w:szCs w:val="36"/>
      <w:u w:val="single"/>
    </w:rPr>
  </w:style>
  <w:style w:type="character" w:customStyle="1" w:styleId="TitleChar">
    <w:name w:val="Title Char"/>
    <w:basedOn w:val="DefaultParagraphFont"/>
    <w:link w:val="Title"/>
    <w:rsid w:val="00B54B33"/>
    <w:rPr>
      <w:rFonts w:asciiTheme="majorHAnsi" w:eastAsiaTheme="majorEastAsia" w:hAnsiTheme="majorHAnsi" w:cstheme="majorBidi"/>
      <w:b/>
      <w:bCs/>
      <w:color w:val="0070C0"/>
      <w:sz w:val="32"/>
      <w:szCs w:val="36"/>
      <w:u w:val="single"/>
    </w:rPr>
  </w:style>
  <w:style w:type="paragraph" w:styleId="Date">
    <w:name w:val="Date"/>
    <w:next w:val="BodyText"/>
    <w:link w:val="DateChar"/>
    <w:autoRedefine/>
    <w:qFormat/>
    <w:rsid w:val="009035AE"/>
    <w:pPr>
      <w:keepNext/>
      <w:keepLines/>
      <w:spacing w:after="200"/>
      <w:jc w:val="center"/>
    </w:pPr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9035AE"/>
    <w:rPr>
      <w:rFonts w:ascii="Arial" w:hAnsi="Arial"/>
    </w:rPr>
  </w:style>
  <w:style w:type="paragraph" w:customStyle="1" w:styleId="Author">
    <w:name w:val="Author"/>
    <w:next w:val="BodyText"/>
    <w:autoRedefine/>
    <w:qFormat/>
    <w:rsid w:val="009035AE"/>
    <w:pPr>
      <w:keepNext/>
      <w:keepLines/>
      <w:spacing w:after="200"/>
      <w:jc w:val="center"/>
    </w:pPr>
    <w:rPr>
      <w:rFonts w:ascii="Arial" w:hAnsi="Arial"/>
    </w:rPr>
  </w:style>
  <w:style w:type="paragraph" w:customStyle="1" w:styleId="Compact">
    <w:name w:val="Compact"/>
    <w:basedOn w:val="BodyText"/>
    <w:autoRedefine/>
    <w:qFormat/>
    <w:rsid w:val="009035AE"/>
    <w:pPr>
      <w:spacing w:before="36" w:after="36"/>
    </w:pPr>
  </w:style>
  <w:style w:type="paragraph" w:customStyle="1" w:styleId="BoxTitle">
    <w:name w:val="Box Title"/>
    <w:basedOn w:val="Heading1"/>
    <w:autoRedefine/>
    <w:qFormat/>
    <w:rsid w:val="009035AE"/>
    <w:rPr>
      <w:sz w:val="36"/>
    </w:rPr>
  </w:style>
  <w:style w:type="paragraph" w:customStyle="1" w:styleId="VerbatimChar">
    <w:name w:val="Verbatim Char"/>
    <w:basedOn w:val="Normal"/>
    <w:autoRedefine/>
    <w:qFormat/>
    <w:rsid w:val="004C4CD4"/>
    <w:pPr>
      <w:wordWrap w:val="0"/>
    </w:pPr>
    <w:rPr>
      <w:rFonts w:ascii="Courier New" w:hAnsi="Courier New"/>
    </w:rPr>
  </w:style>
  <w:style w:type="paragraph" w:customStyle="1" w:styleId="SourceCode">
    <w:name w:val="Source Code"/>
    <w:basedOn w:val="Normal"/>
    <w:autoRedefine/>
    <w:rsid w:val="00C21449"/>
    <w:pPr>
      <w:wordWrap w:val="0"/>
      <w:spacing w:after="200"/>
    </w:pPr>
    <w:rPr>
      <w:rFonts w:ascii="Courier New" w:hAnsi="Courier New"/>
    </w:rPr>
  </w:style>
  <w:style w:type="paragraph" w:styleId="BlockText">
    <w:name w:val="Block Text"/>
    <w:basedOn w:val="BodyText"/>
    <w:next w:val="BodyText"/>
    <w:uiPriority w:val="9"/>
    <w:unhideWhenUsed/>
    <w:qFormat/>
    <w:rsid w:val="00B54B33"/>
    <w:pPr>
      <w:spacing w:before="100" w:after="100"/>
    </w:pPr>
    <w:rPr>
      <w:rFonts w:asciiTheme="majorHAnsi" w:eastAsiaTheme="majorEastAsia" w:hAnsiTheme="majorHAnsi" w:cstheme="majorBidi"/>
      <w:bCs/>
      <w:color w:val="000000" w:themeColor="text1"/>
      <w:sz w:val="20"/>
      <w:szCs w:val="20"/>
    </w:rPr>
  </w:style>
  <w:style w:type="paragraph" w:customStyle="1" w:styleId="DefinitionTerm">
    <w:name w:val="Definition Term"/>
    <w:basedOn w:val="Normal"/>
    <w:next w:val="Normal"/>
    <w:qFormat/>
    <w:rsid w:val="00B54B33"/>
    <w:pPr>
      <w:keepNext/>
      <w:keepLines/>
    </w:pPr>
    <w:rPr>
      <w:rFonts w:asciiTheme="minorHAnsi" w:hAnsiTheme="minorHAnsi"/>
      <w:sz w:val="22"/>
      <w:u w:val="single"/>
    </w:rPr>
  </w:style>
  <w:style w:type="paragraph" w:customStyle="1" w:styleId="Definition">
    <w:name w:val="Definition"/>
    <w:basedOn w:val="Normal"/>
    <w:qFormat/>
    <w:rsid w:val="00B54B33"/>
    <w:pPr>
      <w:spacing w:after="200"/>
    </w:pPr>
    <w:rPr>
      <w:rFonts w:asciiTheme="minorHAnsi" w:hAnsiTheme="minorHAnsi"/>
      <w:color w:val="0070C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Causey Jason</dc:creator>
  <cp:keywords/>
  <dc:description/>
  <cp:lastModifiedBy>Causey Jason</cp:lastModifiedBy>
  <cp:revision>28</cp:revision>
  <dcterms:created xsi:type="dcterms:W3CDTF">2018-03-10T00:33:00Z</dcterms:created>
  <dcterms:modified xsi:type="dcterms:W3CDTF">2018-03-10T02:07:00Z</dcterms:modified>
</cp:coreProperties>
</file>