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bidi/>
        <w:spacing w:after="200" w:before="200"/>
        <w:jc w:val="center"/>
      </w:pPr>
      <w:r>
        <w:rPr>
          <w:rFonts w:ascii="Arial" w:cs="Arial" w:eastAsia="Arial" w:hAnsi="Arial"/>
          <w:b/>
          <w:bCs/>
          <w:color w:val="B8860B"/>
          <w:sz w:val="32"/>
          <w:szCs w:val="32"/>
          <w:rtl/>
        </w:rPr>
        <w:t xml:space="preserve">بروبوزل استراتيجي</w:t>
      </w:r>
    </w:p>
    <w:p>
      <w:pPr>
        <w:pBdr>
          <w:top w:val="single" w:color="B8860B" w:sz="18" w:space="12"/>
          <w:bottom w:val="single" w:color="B8860B" w:sz="18" w:space="12"/>
        </w:pBdr>
        <w:bidi/>
        <w:spacing w:after="200" w:before="100"/>
        <w:jc w:val="center"/>
      </w:pPr>
      <w:r>
        <w:rPr>
          <w:rFonts w:ascii="Arial" w:cs="Arial" w:eastAsia="Arial" w:hAnsi="Arial"/>
          <w:b/>
          <w:bCs/>
          <w:color w:val="1B5E20"/>
          <w:sz w:val="56"/>
          <w:szCs w:val="56"/>
          <w:rtl/>
        </w:rPr>
        <w:t xml:space="preserve">من حكايات الرمل إلى شاشات العالم</w:t>
      </w:r>
    </w:p>
    <w:p>
      <w:pPr>
        <w:bidi/>
        <w:spacing w:after="600" w:before="160"/>
        <w:jc w:val="center"/>
      </w:pPr>
      <w:r>
        <w:rPr>
          <w:rFonts w:ascii="Arial" w:cs="Arial" w:eastAsia="Arial" w:hAnsi="Arial"/>
          <w:color w:val="2C1810"/>
          <w:sz w:val="30"/>
          <w:szCs w:val="30"/>
          <w:rtl/>
        </w:rPr>
        <w:t xml:space="preserve">خطة تسويقية وتطويرية متكاملة للمتحف الوطني السعودي</w:t>
      </w:r>
    </w:p>
    <w:p>
      <w:pPr>
        <w:bidi/>
        <w:spacing w:after="80" w:before="400"/>
        <w:jc w:val="center"/>
      </w:pPr>
      <w:r>
        <w:rPr>
          <w:rFonts w:ascii="Arial" w:cs="Arial" w:eastAsia="Arial" w:hAnsi="Arial"/>
          <w:color w:val="6B5B4B"/>
          <w:sz w:val="22"/>
          <w:szCs w:val="22"/>
          <w:rtl/>
        </w:rPr>
        <w:t xml:space="preserve">مُقدَّم إلى</w:t>
      </w:r>
    </w:p>
    <w:p>
      <w:pPr>
        <w:bidi/>
        <w:spacing w:after="200" w:before="40"/>
        <w:jc w:val="center"/>
      </w:pPr>
      <w:r>
        <w:rPr>
          <w:rFonts w:ascii="Arial" w:cs="Arial" w:eastAsia="Arial" w:hAnsi="Arial"/>
          <w:b/>
          <w:bCs/>
          <w:color w:val="1B5E20"/>
          <w:sz w:val="28"/>
          <w:szCs w:val="28"/>
          <w:rtl/>
        </w:rPr>
        <w:t xml:space="preserve">إدارة المتحف الوطني السعودي – هيئة المتاحف</w:t>
      </w:r>
    </w:p>
    <w:p>
      <w:pPr>
        <w:bidi/>
        <w:spacing w:after="80" w:before="200"/>
        <w:jc w:val="center"/>
      </w:pPr>
      <w:r>
        <w:rPr>
          <w:rFonts w:ascii="Arial" w:cs="Arial" w:eastAsia="Arial" w:hAnsi="Arial"/>
          <w:color w:val="6B5B4B"/>
          <w:sz w:val="22"/>
          <w:szCs w:val="22"/>
          <w:rtl/>
        </w:rPr>
        <w:t xml:space="preserve">مُعَدّ بواسطة</w:t>
      </w:r>
    </w:p>
    <w:p>
      <w:pPr>
        <w:bidi/>
        <w:spacing w:after="80" w:before="40"/>
        <w:jc w:val="center"/>
      </w:pPr>
      <w:r>
        <w:rPr>
          <w:rFonts w:ascii="Arial" w:cs="Arial" w:eastAsia="Arial" w:hAnsi="Arial"/>
          <w:b/>
          <w:bCs/>
          <w:color w:val="2C1810"/>
          <w:sz w:val="26"/>
          <w:szCs w:val="26"/>
          <w:rtl/>
        </w:rPr>
        <w:t xml:space="preserve">وكالة الدعاية والإعلان</w:t>
      </w:r>
    </w:p>
    <w:p>
      <w:pPr>
        <w:bidi/>
        <w:spacing w:after="100" w:before="600"/>
        <w:jc w:val="center"/>
      </w:pPr>
      <w:r>
        <w:rPr>
          <w:rFonts w:ascii="Arial" w:cs="Arial" w:eastAsia="Arial" w:hAnsi="Arial"/>
          <w:color w:val="6B5B4B"/>
          <w:sz w:val="22"/>
          <w:szCs w:val="22"/>
          <w:rtl/>
        </w:rPr>
        <w:t xml:space="preserve">الرياض – المملكة العربية السعودية</w:t>
      </w:r>
    </w:p>
    <w:p>
      <w:pPr>
        <w:bidi/>
        <w:spacing w:before="40"/>
        <w:jc w:val="center"/>
      </w:pPr>
      <w:r>
        <w:rPr>
          <w:rFonts w:ascii="Arial" w:cs="Arial" w:eastAsia="Arial" w:hAnsi="Arial"/>
          <w:color w:val="6B5B4B"/>
          <w:sz w:val="22"/>
          <w:szCs w:val="22"/>
          <w:rtl/>
        </w:rPr>
        <w:t xml:space="preserve">1447هـ / 2026م</w:t>
      </w:r>
    </w:p>
    <w:p>
      <w:r>
        <w:br w:type="page"/>
      </w:r>
    </w:p>
    <w:p>
      <w:pPr>
        <w:pStyle w:val="Heading1"/>
        <w:pBdr>
          <w:bottom w:val="single" w:color="B8860B" w:sz="12" w:space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B5E20"/>
          <w:sz w:val="36"/>
          <w:szCs w:val="36"/>
          <w:rtl/>
        </w:rPr>
        <w:t xml:space="preserve">فهرس المحتويات</w:t>
      </w:r>
    </w:p>
    <w:p>
      <w:pPr>
        <w:spacing w:after="100" w:before="100"/>
      </w:pPr>
      <w:r>
        <w:t xml:space="preserve"/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color w:val="2C1810"/>
          <w:sz w:val="24"/>
          <w:szCs w:val="24"/>
          <w:rtl/>
        </w:rPr>
        <w:t xml:space="preserve">1. الملخص التنفيذي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color w:val="2C1810"/>
          <w:sz w:val="24"/>
          <w:szCs w:val="24"/>
          <w:rtl/>
        </w:rPr>
        <w:t xml:space="preserve">2. من نحن ولماذا هذا المشروع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color w:val="2C1810"/>
          <w:sz w:val="24"/>
          <w:szCs w:val="24"/>
          <w:rtl/>
        </w:rPr>
        <w:t xml:space="preserve">3. تحليل الوضع الراهن للمتحف الوطني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color w:val="2C1810"/>
          <w:sz w:val="24"/>
          <w:szCs w:val="24"/>
          <w:rtl/>
        </w:rPr>
        <w:t xml:space="preserve">4. تحليل SWOT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color w:val="2C1810"/>
          <w:sz w:val="24"/>
          <w:szCs w:val="24"/>
          <w:rtl/>
        </w:rPr>
        <w:t xml:space="preserve">5. الشرائح المستهدفة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color w:val="2C1810"/>
          <w:sz w:val="24"/>
          <w:szCs w:val="24"/>
          <w:rtl/>
        </w:rPr>
        <w:t xml:space="preserve">6. الفكرة الكبرى (The Big Idea)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color w:val="2C1810"/>
          <w:sz w:val="24"/>
          <w:szCs w:val="24"/>
          <w:rtl/>
        </w:rPr>
        <w:t xml:space="preserve">7. الأهداف الاستراتيجية ومؤشرات الأداء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color w:val="2C1810"/>
          <w:sz w:val="24"/>
          <w:szCs w:val="24"/>
          <w:rtl/>
        </w:rPr>
        <w:t xml:space="preserve">8. الخطة التسويقية – أفكار عالمية بروح سعودية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color w:val="2C1810"/>
          <w:sz w:val="24"/>
          <w:szCs w:val="24"/>
          <w:rtl/>
        </w:rPr>
        <w:t xml:space="preserve">9. الخطة الرقمية ومنصات التواصل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color w:val="2C1810"/>
          <w:sz w:val="24"/>
          <w:szCs w:val="24"/>
          <w:rtl/>
        </w:rPr>
        <w:t xml:space="preserve">10. الخطة التطويرية داخل المتحف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color w:val="2C1810"/>
          <w:sz w:val="24"/>
          <w:szCs w:val="24"/>
          <w:rtl/>
        </w:rPr>
        <w:t xml:space="preserve">11. التقويم الفعالياتي السنوي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color w:val="2C1810"/>
          <w:sz w:val="24"/>
          <w:szCs w:val="24"/>
          <w:rtl/>
        </w:rPr>
        <w:t xml:space="preserve">12. الشراكات الاستراتيجية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color w:val="2C1810"/>
          <w:sz w:val="24"/>
          <w:szCs w:val="24"/>
          <w:rtl/>
        </w:rPr>
        <w:t xml:space="preserve">13. خارطة الطريق والمراحل الزمنية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color w:val="2C1810"/>
          <w:sz w:val="24"/>
          <w:szCs w:val="24"/>
          <w:rtl/>
        </w:rPr>
        <w:t xml:space="preserve">14. هيكل الميزانية المقترح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color w:val="2C1810"/>
          <w:sz w:val="24"/>
          <w:szCs w:val="24"/>
          <w:rtl/>
        </w:rPr>
        <w:t xml:space="preserve">15. لماذا نحن</w:t>
      </w:r>
    </w:p>
    <w:p>
      <w:r>
        <w:br w:type="page"/>
      </w:r>
    </w:p>
    <w:p>
      <w:pPr>
        <w:pStyle w:val="Heading1"/>
        <w:pBdr>
          <w:bottom w:val="single" w:color="B8860B" w:sz="12" w:space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B5E20"/>
          <w:sz w:val="36"/>
          <w:szCs w:val="36"/>
          <w:rtl/>
        </w:rPr>
        <w:t xml:space="preserve">1. الملخص التنفيذي</w:t>
      </w:r>
    </w:p>
    <w:p>
      <w:pPr>
        <w:bidi/>
        <w:spacing w:after="120" w:before="8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  <w:rtl/>
        </w:rPr>
        <w:t xml:space="preserve">يعيش المتحف الوطني السعودي لحظة استثنائية. فمن جهة، يحتضن بين جدرانه أكثر من 1300 عام من تاريخ الجزيرة العربية وإرثًا ثقافيًا لا ينافَس إقليميًا. ومن جهة أخرى، تعمل المملكة – في إطار رؤية 2030 – على تحويل الثقافة إلى قطاع اقتصادي قائد، وعلى استقطاب 100 مليون زائر سنويًا بحلول 2030، ورفع إنفاق الأسرة على الثقافة والترفيه من 2.9% إلى 6%.</w:t>
      </w:r>
    </w:p>
    <w:p>
      <w:pPr>
        <w:bidi/>
        <w:spacing w:after="120" w:before="8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  <w:rtl/>
        </w:rPr>
        <w:t xml:space="preserve">ومع ذلك، يظل المتحف الوطني – رغم غناه – أقل حضورًا في الوعي اليومي للجمهور مقارنةً بحجمه ومكانته، وأقل حضورًا على المنصات الرقمية مقارنةً بنظرائه العالميين كاللوفر والمتحف البريطاني ومتحف متروبوليتان.</w:t>
      </w:r>
    </w:p>
    <w:p>
      <w:pPr>
        <w:bidi/>
        <w:spacing w:after="120" w:before="8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  <w:rtl/>
        </w:rPr>
        <w:t xml:space="preserve">يقدّم هذا البروبوزل رؤية متكاملة لتحويل المتحف من "مكان يُزار" إلى "تجربة تُعاش وتُشارَك"، عبر أخذ أنجح ممارسات المتاحف العالمية وإعادة صياغتها بلغة سعودية أصيلة. الفكرة الجوهرية: أن كل قطعة في المتحف ليست أثرًا صامتًا، بل حكاية تنتظر من يرويها.</w:t>
      </w:r>
    </w:p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2C1810"/>
          <w:sz w:val="24"/>
          <w:szCs w:val="24"/>
          <w:rtl/>
        </w:rPr>
        <w:t xml:space="preserve">ما يقدّمه هذا البروبوزل باختصار: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فكرة إبداعية كبرى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بعنوان «حكاية من رمل» تربط كل قاعة بشخصية سعودية معاصرة تروي قصتها.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خطة تسويقية 360°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تشمل الإعلام التقليدي، الرقمي، المؤثرين، الفعاليات، والشراكات.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خطة تطويرية داخلية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تحوّل تجربة الزيارة نفسها إلى منتج قابل للمشاركة.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تقويم فعاليات سنوي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مربوط بالمواسم والمناسبات الوطنية والدولية.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مؤشرات أداء واضحة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قابلة للقياس خلال 12 شهرًا.</w:t>
      </w:r>
    </w:p>
    <w:p>
      <w:r>
        <w:br w:type="page"/>
      </w:r>
    </w:p>
    <w:p>
      <w:pPr>
        <w:pStyle w:val="Heading1"/>
        <w:pBdr>
          <w:bottom w:val="single" w:color="B8860B" w:sz="12" w:space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B5E20"/>
          <w:sz w:val="36"/>
          <w:szCs w:val="36"/>
          <w:rtl/>
        </w:rPr>
        <w:t xml:space="preserve">2. من نحن ولماذا هذا المشروع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B8860B"/>
          <w:sz w:val="28"/>
          <w:szCs w:val="28"/>
          <w:rtl/>
        </w:rPr>
        <w:t xml:space="preserve">هويتنا</w:t>
      </w:r>
    </w:p>
    <w:p>
      <w:pPr>
        <w:bidi/>
        <w:spacing w:after="120" w:before="8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  <w:rtl/>
        </w:rPr>
        <w:t xml:space="preserve">نحن وكالة دعاية وإعلان تؤمن بأن الإعلان الجيد لا يبيع منتجًا فحسب، بل يزرع شعورًا. نعمل على تقاطع ثلاث مهارات: الإبداع، وفهم السلوك، وإتقان الأدوات الرقمية. ركّزنا خلال مشاريعنا على العلامات التي تحمل بُعدًا ثقافيًا، لأن الإعلان لها ليس وظيفة تجارية بل مسؤولية حضارية.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B8860B"/>
          <w:sz w:val="28"/>
          <w:szCs w:val="28"/>
          <w:rtl/>
        </w:rPr>
        <w:t xml:space="preserve">لماذا المتحف الوطني تحديدًا</w:t>
      </w:r>
    </w:p>
    <w:p>
      <w:pPr>
        <w:bidi/>
        <w:spacing w:after="120" w:before="8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  <w:rtl/>
        </w:rPr>
        <w:t xml:space="preserve">لأن المتحف الوطني ليس عميلًا عاديًا – هو ذاكرة وطن. والإعلان له ليس حملة إعلانية، بل مشروع بناء وعي. ثلاثة أسباب دفعتنا لتقديم هذا البروبوزل: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التوقيت المثالي: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المملكة تعيش أعلى موجة اهتمام ثقافي في تاريخها الحديث، والمتحف في قلب هذه الموجة.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الفجوة الواضحة: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رغم قيمة المحتوى، هناك مساحة واسعة لم تُستثمر بعد في التواصل الرقمي ورواية القصة.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الانسجام مع الرؤية الوطنية: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هدف رفع إنفاق الأسر على الثقافة إلى 6%، وهدف الوصول إلى 100 مليون زائر، لا يتحققان دون حملات مدروسة.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B8860B"/>
          <w:sz w:val="28"/>
          <w:szCs w:val="28"/>
          <w:rtl/>
        </w:rPr>
        <w:t xml:space="preserve">فلسفتنا في هذا المشروع</w:t>
      </w:r>
    </w:p>
    <w:p>
      <w:pPr>
        <w:bidi/>
        <w:spacing w:after="120" w:before="8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  <w:rtl/>
        </w:rPr>
        <w:t xml:space="preserve">"لا نُسوّق للمتحف، بل نُسوّق للمملكة من خلاله." كل إعلان، كل منشور، كل فعالية، ستكون نافذة على الهوية السعودية كما يراها جيل جديد: متجذّر في تراثه، ومفتوح على العالم.</w:t>
      </w:r>
    </w:p>
    <w:p>
      <w:r>
        <w:br w:type="page"/>
      </w:r>
    </w:p>
    <w:p>
      <w:pPr>
        <w:pStyle w:val="Heading1"/>
        <w:pBdr>
          <w:bottom w:val="single" w:color="B8860B" w:sz="12" w:space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B5E20"/>
          <w:sz w:val="36"/>
          <w:szCs w:val="36"/>
          <w:rtl/>
        </w:rPr>
        <w:t xml:space="preserve">3. تحليل الوضع الراهن للمتحف الوطني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B8860B"/>
          <w:sz w:val="28"/>
          <w:szCs w:val="28"/>
          <w:rtl/>
        </w:rPr>
        <w:t xml:space="preserve">أولًا: المكانة والموقع</w:t>
      </w:r>
    </w:p>
    <w:p>
      <w:pPr>
        <w:bidi/>
        <w:spacing w:after="120" w:before="8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  <w:rtl/>
        </w:rPr>
        <w:t xml:space="preserve">يقع المتحف الوطني في قلب مركز الملك عبدالعزيز التاريخي بالرياض، على مساحة تقارب 17,000 م²، ويضم ثماني قاعات عرض رئيسية تغطي مراحل تاريخية تمتد من ما قبل الإسلام وحتى تأسيس المملكة العربية السعودية. ويُدار اليوم تحت مظلة هيئة المتاحف التابعة لوزارة الثقافة.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B8860B"/>
          <w:sz w:val="28"/>
          <w:szCs w:val="28"/>
          <w:rtl/>
        </w:rPr>
        <w:t xml:space="preserve">ثانيًا: المنتج الثقافي الحالي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ثماني قاعات دائمة تغطي الإنسان والكون، الممالك العربية، العصر الجاهلي، البعثة المحمدية، الإسلام والجزيرة العربية، الدولة السعودية الأولى والثانية، توحيد المملكة، والحج والحرمين.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معارض مؤقتة متجددة (مثل معرض «روايات مسكوكة» عن تاريخ العملات السعودية، ومعرض «بدايات الحركة الفنية السعودية»).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برامج ثقافية موسمية (يوم التأسيس، رمضان، اليوم الوطني، اليوم العالمي للمتاحف).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جولة افتراضية عبر الإنترنت تقنيًا متاحة لكنها غير مُسوَّقة بالشكل الكافي.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B8860B"/>
          <w:sz w:val="28"/>
          <w:szCs w:val="28"/>
          <w:rtl/>
        </w:rPr>
        <w:t xml:space="preserve">ثالثًا: السياق الاستراتيجي – رؤية 2030</w:t>
      </w:r>
    </w:p>
    <w:p>
      <w:pPr>
        <w:bidi/>
        <w:spacing w:after="120" w:before="8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  <w:rtl/>
        </w:rPr>
        <w:t xml:space="preserve">المتحف ليس جزيرة معزولة؛ هو جزء من منظومة أكبر: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هدف الزيارات: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100 مليون زائر سنويًا للمملكة بحلول 2030.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هدف الإنفاق الثقافي: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رفع إنفاق الأسر على الثقافة والترفيه من 2.9% إلى 6%.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هدف التراث: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مضاعفة عدد المواقع السعودية المسجلة في اليونسكو (تحقق جزئيًا).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البيئة المنافسة المحلية: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بوابة الدرعية، حي جاكس، بينالي الدرعية، إثراء، معرض الرياض. كلها تسحب اهتمامًا كان يمكن أن يذهب للمتحف الوطني.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B8860B"/>
          <w:sz w:val="28"/>
          <w:szCs w:val="28"/>
          <w:rtl/>
        </w:rPr>
        <w:t xml:space="preserve">رابعًا: مقارنة سريعة مع المتاحف العالمية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 w:val="false"/>
        </w:trPr>
        <w:tc>
          <w:tcPr>
            <w:tcW w:type="dxa" w:w="234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1B5E20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المؤشر</w:t>
            </w:r>
          </w:p>
        </w:tc>
        <w:tc>
          <w:tcPr>
            <w:tcW w:type="dxa" w:w="234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1B5E20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اللوفر</w:t>
            </w:r>
          </w:p>
        </w:tc>
        <w:tc>
          <w:tcPr>
            <w:tcW w:type="dxa" w:w="234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1B5E20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المتحف البريطاني</w:t>
            </w:r>
          </w:p>
        </w:tc>
        <w:tc>
          <w:tcPr>
            <w:tcW w:type="dxa" w:w="234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1B5E20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المتحف الوطني السعودي (تقديري)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الزوار السنويون</w:t>
            </w:r>
          </w:p>
        </w:tc>
        <w:tc>
          <w:tcPr>
            <w:tcW w:type="dxa" w:w="234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~ 8.7 مليون</w:t>
            </w:r>
          </w:p>
        </w:tc>
        <w:tc>
          <w:tcPr>
            <w:tcW w:type="dxa" w:w="234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~ 6.0 مليون</w:t>
            </w:r>
          </w:p>
        </w:tc>
        <w:tc>
          <w:tcPr>
            <w:tcW w:type="dxa" w:w="234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أقل بكثير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متابعو إنستقرام</w:t>
            </w:r>
          </w:p>
        </w:tc>
        <w:tc>
          <w:tcPr>
            <w:tcW w:type="dxa" w:w="234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ملايين عديدة</w:t>
            </w:r>
          </w:p>
        </w:tc>
        <w:tc>
          <w:tcPr>
            <w:tcW w:type="dxa" w:w="234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نمو ~123% خلال سنة عند تفعيل الاستراتيجية</w:t>
            </w:r>
          </w:p>
        </w:tc>
        <w:tc>
          <w:tcPr>
            <w:tcW w:type="dxa" w:w="234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حضور محدود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مرتكز العلامة (Brand Anchor)</w:t>
            </w:r>
          </w:p>
        </w:tc>
        <w:tc>
          <w:tcPr>
            <w:tcW w:type="dxa" w:w="234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الموناليزا</w:t>
            </w:r>
          </w:p>
        </w:tc>
        <w:tc>
          <w:tcPr>
            <w:tcW w:type="dxa" w:w="234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حجر رشيد / رخاميات البارثينون</w:t>
            </w:r>
          </w:p>
        </w:tc>
        <w:tc>
          <w:tcPr>
            <w:tcW w:type="dxa" w:w="234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غير معرّف بوضوح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التجربة الرقمية (VR/AR)</w:t>
            </w:r>
          </w:p>
        </w:tc>
        <w:tc>
          <w:tcPr>
            <w:tcW w:type="dxa" w:w="234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تجارب Mona Lisa VR</w:t>
            </w:r>
          </w:p>
        </w:tc>
        <w:tc>
          <w:tcPr>
            <w:tcW w:type="dxa" w:w="234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جولات افتراضية كاملة</w:t>
            </w:r>
          </w:p>
        </w:tc>
        <w:tc>
          <w:tcPr>
            <w:tcW w:type="dxa" w:w="234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جولة افتراضية موجودة لكن غير مُسوَّقة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bidi/>
        <w:spacing w:after="120" w:before="8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  <w:rtl/>
        </w:rPr>
        <w:t xml:space="preserve">الخلاصة: المتحف يمتلك مادة خام لا تقل قيمة عن نظرائه العالميين، لكنه يحتاج إلى هندسة تجربة وسردية وعلامة تتيح هذه المادة للجمهور.</w:t>
      </w:r>
    </w:p>
    <w:p>
      <w:r>
        <w:br w:type="page"/>
      </w:r>
    </w:p>
    <w:p>
      <w:pPr>
        <w:pStyle w:val="Heading1"/>
        <w:pBdr>
          <w:bottom w:val="single" w:color="B8860B" w:sz="12" w:space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B5E20"/>
          <w:sz w:val="36"/>
          <w:szCs w:val="36"/>
          <w:rtl/>
        </w:rPr>
        <w:t xml:space="preserve">4. تحليل SWOT</w:t>
      </w:r>
    </w:p>
    <w:p>
      <w:pPr>
        <w:bidi/>
        <w:spacing w:after="120" w:before="8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  <w:rtl/>
        </w:rPr>
        <w:t xml:space="preserve">يستعرض هذا التحليل العوامل الأربع التي تحكم موقع المتحف، ويحدد الزوايا التي ستبني عليها الحملة قوتها.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1B5E20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نقاط القوة Strengths</w:t>
            </w:r>
          </w:p>
        </w:tc>
        <w:tc>
          <w:tcPr>
            <w:tcW w:type="dxa" w:w="468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B8860B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نقاط الضعف Weaknesses</w:t>
            </w:r>
          </w:p>
        </w:tc>
      </w:tr>
      <w:tr>
        <w:tc>
          <w:tcPr>
            <w:tcW w:type="dxa" w:w="468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• مكانة رسمية كمتحف وطني ودعم حكومي.
• موقع استراتيجي في قلب الرياض.
• ثراء الاقتناءات من ما قبل الإسلام إلى اليوم.
• موقع بجوار مركز الملك عبدالعزيز التاريخي.
• بنية تحتية حديثة نسبيًا.</w:t>
            </w:r>
          </w:p>
        </w:tc>
        <w:tc>
          <w:tcPr>
            <w:tcW w:type="dxa" w:w="468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• هوية بصرية ضعيفة على السوشيال ميديا.
• غياب "مرتكز علامة" مشهور مثل الموناليزا.
• تجربة الزائر أحادية (المشاهدة فقط).
• ضعف في مكوّن "المشاركة" (Shareability).
• محدودية الشراكات مع المبدعين والمؤثرين.</w:t>
            </w:r>
          </w:p>
        </w:tc>
      </w:tr>
      <w:tr>
        <w:tc>
          <w:tcPr>
            <w:tcW w:type="dxa" w:w="468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1B5E20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الفرص Opportunities</w:t>
            </w:r>
          </w:p>
        </w:tc>
        <w:tc>
          <w:tcPr>
            <w:tcW w:type="dxa" w:w="468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B8860B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التهديدات Threats</w:t>
            </w:r>
          </w:p>
        </w:tc>
      </w:tr>
      <w:tr>
        <w:tc>
          <w:tcPr>
            <w:tcW w:type="dxa" w:w="468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• رؤية 2030 تضخ استثمارات ضخمة في الثقافة.
• نمو السياحة الداخلية والدولية.
• جيل Z السعودي شغوف بالهوية والمحتوى.
• إقبال عالمي متزايد على التجارب السعودية.
• تطور أدوات AR/VR يجعل التجارب الغامرة أرخص.
• يوم التأسيس واليوم الوطني كمواسم محتوى.</w:t>
            </w:r>
          </w:p>
        </w:tc>
        <w:tc>
          <w:tcPr>
            <w:tcW w:type="dxa" w:w="468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• منافسة شديدة من وجهات ثقافية جديدة (الدرعية، جاكس، إثراء).
• تغيّر سلوك الجمهور نحو الترفيه السريع.
• صعوبة قياس العائد الثقافي بنفس دقة التجاري.
• مخاطر التبسيط المخل للمحتوى التاريخي.
• تشبّع المحتوى على السوشيال ميديا.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B8860B"/>
          <w:sz w:val="28"/>
          <w:szCs w:val="28"/>
          <w:rtl/>
        </w:rPr>
        <w:t xml:space="preserve">الاستنتاج الاستراتيجي</w:t>
      </w:r>
    </w:p>
    <w:p>
      <w:pPr>
        <w:bidi/>
        <w:spacing w:after="120" w:before="8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  <w:rtl/>
        </w:rPr>
        <w:t xml:space="preserve">المعادلة واضحة: نأخذ نقاط القوة (الاقتناءات + الموقع) ونعالج بها نقاط الضعف (التجربة والهوية الرقمية)، ونستفيد من الفرص (الرؤية + الجيل الجديد) لصد التهديدات (المنافسة الثقافية الجديدة). المفتاح: أن يصبح المتحف الوطني "المكان الذي تبدأ منه كل قصة سعودية"، لا مجرد محطة ضمن محطات.</w:t>
      </w:r>
    </w:p>
    <w:p>
      <w:r>
        <w:br w:type="page"/>
      </w:r>
    </w:p>
    <w:p>
      <w:pPr>
        <w:pStyle w:val="Heading1"/>
        <w:pBdr>
          <w:bottom w:val="single" w:color="B8860B" w:sz="12" w:space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B5E20"/>
          <w:sz w:val="36"/>
          <w:szCs w:val="36"/>
          <w:rtl/>
        </w:rPr>
        <w:t xml:space="preserve">5. الشرائح المستهدفة</w:t>
      </w:r>
    </w:p>
    <w:p>
      <w:pPr>
        <w:bidi/>
        <w:spacing w:after="120" w:before="8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  <w:rtl/>
        </w:rPr>
        <w:t xml:space="preserve">لا يمكن مخاطبة "الجمهور" ككتلة واحدة. قسّمنا الجمهور إلى خمس شرائح، لكل منها دوافع وقنوات ورسائل مختلفة.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80"/>
        <w:gridCol w:w="2700"/>
        <w:gridCol w:w="3020"/>
      </w:tblGrid>
      <w:tr>
        <w:tc>
          <w:tcPr>
            <w:tcW w:type="dxa" w:w="156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1B5E20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الشريحة</w:t>
            </w:r>
          </w:p>
        </w:tc>
        <w:tc>
          <w:tcPr>
            <w:tcW w:type="dxa" w:w="208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1B5E20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العمر / الوصف</w:t>
            </w:r>
          </w:p>
        </w:tc>
        <w:tc>
          <w:tcPr>
            <w:tcW w:type="dxa" w:w="270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1B5E20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الدافع الحقيقي</w:t>
            </w:r>
          </w:p>
        </w:tc>
        <w:tc>
          <w:tcPr>
            <w:tcW w:type="dxa" w:w="30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1B5E20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القنوات والرسالة</w:t>
            </w:r>
          </w:p>
        </w:tc>
      </w:tr>
      <w:tr>
        <w:tc>
          <w:tcPr>
            <w:tcW w:type="dxa" w:w="156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جيل Z السعودي</w:t>
            </w:r>
          </w:p>
        </w:tc>
        <w:tc>
          <w:tcPr>
            <w:tcW w:type="dxa" w:w="208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15–24 سنة
طلاب وطالبات</w:t>
            </w:r>
          </w:p>
        </w:tc>
        <w:tc>
          <w:tcPr>
            <w:tcW w:type="dxa" w:w="270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اكتشاف الهوية وإنتاج محتوى جذاب للسوشيال</w:t>
            </w:r>
          </w:p>
        </w:tc>
        <w:tc>
          <w:tcPr>
            <w:tcW w:type="dxa" w:w="30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تيك توك، إنستقرام، سناب شات
رسالة: «تراثك أروع مما تظن»</w:t>
            </w:r>
          </w:p>
        </w:tc>
      </w:tr>
      <w:tr>
        <w:tc>
          <w:tcPr>
            <w:tcW w:type="dxa" w:w="156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الشباب العامل</w:t>
            </w:r>
          </w:p>
        </w:tc>
        <w:tc>
          <w:tcPr>
            <w:tcW w:type="dxa" w:w="208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25–40 سنة
موظفون ورواد أعمال</w:t>
            </w:r>
          </w:p>
        </w:tc>
        <w:tc>
          <w:tcPr>
            <w:tcW w:type="dxa" w:w="270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فسحة ثقافية ذات معنى مع الأصدقاء والشريك</w:t>
            </w:r>
          </w:p>
        </w:tc>
        <w:tc>
          <w:tcPr>
            <w:tcW w:type="dxa" w:w="30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إنستقرام، X، يوتيوب
رسالة: «جولة تستحق ساعتين من أسبوعك»</w:t>
            </w:r>
          </w:p>
        </w:tc>
      </w:tr>
      <w:tr>
        <w:tc>
          <w:tcPr>
            <w:tcW w:type="dxa" w:w="156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الأسر السعودية</w:t>
            </w:r>
          </w:p>
        </w:tc>
        <w:tc>
          <w:tcPr>
            <w:tcW w:type="dxa" w:w="208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30–55 سنة
مع أطفال 6–14</w:t>
            </w:r>
          </w:p>
        </w:tc>
        <w:tc>
          <w:tcPr>
            <w:tcW w:type="dxa" w:w="270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تجربة تعليمية ترفيهية للأبناء</w:t>
            </w:r>
          </w:p>
        </w:tc>
        <w:tc>
          <w:tcPr>
            <w:tcW w:type="dxa" w:w="30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واتساب، فيسبوك، تلفزيون
رسالة: «رحلة نعلّم فيها أولادنا من هم»</w:t>
            </w:r>
          </w:p>
        </w:tc>
      </w:tr>
      <w:tr>
        <w:tc>
          <w:tcPr>
            <w:tcW w:type="dxa" w:w="156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الطلاب ومعلموهم</w:t>
            </w:r>
          </w:p>
        </w:tc>
        <w:tc>
          <w:tcPr>
            <w:tcW w:type="dxa" w:w="208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مدارس ابتدائية وثانوية وجامعات</w:t>
            </w:r>
          </w:p>
        </w:tc>
        <w:tc>
          <w:tcPr>
            <w:tcW w:type="dxa" w:w="270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تكامل مع المناهج + نشاط مدرسي مميز</w:t>
            </w:r>
          </w:p>
        </w:tc>
        <w:tc>
          <w:tcPr>
            <w:tcW w:type="dxa" w:w="30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تعاون مع وزارة التعليم + منصات تعليمية
رسالة: «الفصل الذي يخرج من الكتاب»</w:t>
            </w:r>
          </w:p>
        </w:tc>
      </w:tr>
      <w:tr>
        <w:tc>
          <w:tcPr>
            <w:tcW w:type="dxa" w:w="156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السياح الدوليون</w:t>
            </w:r>
          </w:p>
        </w:tc>
        <w:tc>
          <w:tcPr>
            <w:tcW w:type="dxa" w:w="208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زوار المملكة من خارجها</w:t>
            </w:r>
          </w:p>
        </w:tc>
        <w:tc>
          <w:tcPr>
            <w:tcW w:type="dxa" w:w="270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فهم المملكة في ساعتين قبل اكتشاف بقيتها</w:t>
            </w:r>
          </w:p>
        </w:tc>
        <w:tc>
          <w:tcPr>
            <w:tcW w:type="dxa" w:w="30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إنستقرام، يوتيوب، تريب أدفايزر، TikTok
رسالة: «Start Here. Understand Saudi.»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B8860B"/>
          <w:sz w:val="28"/>
          <w:szCs w:val="28"/>
          <w:rtl/>
        </w:rPr>
        <w:t xml:space="preserve">الأولوية في السنة الأولى</w:t>
      </w:r>
    </w:p>
    <w:p>
      <w:pPr>
        <w:bidi/>
        <w:spacing w:after="120" w:before="8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  <w:rtl/>
        </w:rPr>
        <w:t xml:space="preserve">ستنصبّ نسبة 60% من الجهد التسويقي على الشرائح الثلاث الأولى (جيل Z، الشباب العامل، الأسر) لأنها الأقرب جغرافيًا والأكثر تأثيرًا في بناء المحتوى العضوي، ثم نتوسع في السنة الثانية نحو الطلاب دوليًا والسياح.</w:t>
      </w:r>
    </w:p>
    <w:p>
      <w:r>
        <w:br w:type="page"/>
      </w:r>
    </w:p>
    <w:p>
      <w:pPr>
        <w:pStyle w:val="Heading1"/>
        <w:pBdr>
          <w:bottom w:val="single" w:color="B8860B" w:sz="12" w:space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B5E20"/>
          <w:sz w:val="36"/>
          <w:szCs w:val="36"/>
          <w:rtl/>
        </w:rPr>
        <w:t xml:space="preserve">6. الفكرة الكبرى: «حكاية من رمل»</w:t>
      </w:r>
    </w:p>
    <w:p>
      <w:pPr>
        <w:pBdr>
          <w:top w:val="single" w:color="B8860B" w:sz="24" w:space="10"/>
          <w:bottom w:val="single" w:color="B8860B" w:sz="24" w:space="10"/>
        </w:pBdr>
        <w:bidi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B5E20"/>
          <w:sz w:val="30"/>
          <w:szCs w:val="30"/>
          <w:rtl/>
        </w:rPr>
        <w:t xml:space="preserve">«كل حبة رمل في جزيرة العرب تحمل حكاية. المتحف هو المكان الذي نسمع فيه أصواتها.»</w:t>
      </w:r>
    </w:p>
    <w:p>
      <w:pPr>
        <w:spacing w:after="200" w:before="2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B8860B"/>
          <w:sz w:val="28"/>
          <w:szCs w:val="28"/>
          <w:rtl/>
        </w:rPr>
        <w:t xml:space="preserve">لماذا هذه الفكرة</w:t>
      </w:r>
    </w:p>
    <w:p>
      <w:pPr>
        <w:bidi/>
        <w:spacing w:after="120" w:before="8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  <w:rtl/>
        </w:rPr>
        <w:t xml:space="preserve">الدرس الأهم من اللوفر هو أن المتاحف الناجحة تمتلك مرتكزًا سرديًا قويًا (Story Anchor): الموناليزا ليست فقط لوحة، بل طقس وتجربة مصممة بعناية. المتحف الوطني لا يحتاج لوحة واحدة يدور حولها؛ يحتاج فكرة واحدة تربط كل القاعات: أن كل ما نراه ليس "قطعة أثرية" بل "حكاية إنسانية".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B8860B"/>
          <w:sz w:val="28"/>
          <w:szCs w:val="28"/>
          <w:rtl/>
        </w:rPr>
        <w:t xml:space="preserve">كيف تُترجم الفكرة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على مستوى الحملة: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شعار «حكاية من رمل» يظهر في كل الإعلانات، وكل إعلان يركّز على قطعة واحدة + الحكاية الإنسانية خلفها.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على مستوى المتحف نفسه: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إضافة "راوي القاعة" – شخصية صوتية لكل قاعة ترويها كأنها ذاكرتها (راعٍ في القاعة الجاهلية، تاجر على طريق البخور، حاجّ في طريق الحج، محارب من معركة التوحيد).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على مستوى السوشيال: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سلسلة فيديوهات قصيرة بعنوان «60 ثانية من رمل» – كل حلقة تحكي قصة قطعة واحدة.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على مستوى التجربة: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كل زائر يخرج من المتحف بـ "حكاية" اختارها – سواء كبطاقة مطبوعة، أو NFC رقمية، أو مسار مخصص.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B8860B"/>
          <w:sz w:val="28"/>
          <w:szCs w:val="28"/>
          <w:rtl/>
        </w:rPr>
        <w:t xml:space="preserve">الكلمات المفتاحية (Brand Keywords)</w:t>
      </w:r>
    </w:p>
    <w:p>
      <w:pPr>
        <w:bidi/>
        <w:spacing w:after="120" w:before="8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  <w:rtl/>
        </w:rPr>
        <w:t xml:space="preserve">أصالة – حكاية – دفء – تجذُّر – انفتاح – إنسانية – حرفية.</w:t>
      </w:r>
    </w:p>
    <w:p>
      <w:r>
        <w:br w:type="page"/>
      </w:r>
    </w:p>
    <w:p>
      <w:pPr>
        <w:pStyle w:val="Heading1"/>
        <w:pBdr>
          <w:bottom w:val="single" w:color="B8860B" w:sz="12" w:space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B5E20"/>
          <w:sz w:val="36"/>
          <w:szCs w:val="36"/>
          <w:rtl/>
        </w:rPr>
        <w:t xml:space="preserve">7. الأهداف الاستراتيجية ومؤشرات الأداء</w:t>
      </w:r>
    </w:p>
    <w:p>
      <w:pPr>
        <w:bidi/>
        <w:spacing w:after="120" w:before="8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  <w:rtl/>
        </w:rPr>
        <w:t xml:space="preserve">كل هدف بُني على معايير SMART: محدد، قابل للقياس، قابل للتحقيق، واقعي، مقيد بزمن.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1B5E20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الهدف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1B5E20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المؤشر (KPI)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1B5E20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المستهدف خلال 12 شهرًا</w:t>
            </w:r>
          </w:p>
        </w:tc>
      </w:tr>
      <w:tr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رفع الوعي بالعلامة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عدد الظهور (Reach) على السوشيال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+300%</w:t>
            </w:r>
          </w:p>
        </w:tc>
      </w:tr>
      <w:tr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زيادة الزيارات الفعلية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عدد الزوار الشهري مقارنة بالعام السابق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+150%</w:t>
            </w:r>
          </w:p>
        </w:tc>
      </w:tr>
      <w:tr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تفعيل الجمهور الرقمي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متابعون جدد على إنستقرام وتيك توك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+100 ألف متابع</w:t>
            </w:r>
          </w:p>
        </w:tc>
      </w:tr>
      <w:tr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إنتاج محتوى عضوي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عدد منشورات المستخدمين بالوسم الرسمي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+20 ألف منشور</w:t>
            </w:r>
          </w:p>
        </w:tc>
      </w:tr>
      <w:tr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تنويع الجمهور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نسبة الزوار من خارج الرياض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من ~15% إلى 35%</w:t>
            </w:r>
          </w:p>
        </w:tc>
      </w:tr>
      <w:tr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إشراك المدارس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عدد الزيارات المدرسية المنظمة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300 زيارة مدرسية</w:t>
            </w:r>
          </w:p>
        </w:tc>
      </w:tr>
      <w:tr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الحضور الإعلامي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عدد الظهورات الإعلامية المؤثرة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80 ظهورًا (تلفزيون + صحافة + بودكاست)</w:t>
            </w:r>
          </w:p>
        </w:tc>
      </w:tr>
      <w:tr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رضا الزائر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NPS (Net Promoter Score)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≥ 55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12" w:space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B5E20"/>
          <w:sz w:val="36"/>
          <w:szCs w:val="36"/>
          <w:rtl/>
        </w:rPr>
        <w:t xml:space="preserve">8. الخطة التسويقية – أفكار عالمية بروح سعودية</w:t>
      </w:r>
    </w:p>
    <w:p>
      <w:pPr>
        <w:bidi/>
        <w:spacing w:after="120" w:before="8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  <w:rtl/>
        </w:rPr>
        <w:t xml:space="preserve">هنا يكمن جوهر البروبوزل: نأخذ أنجح الممارسات العالمية في تسويق المتاحف، ثم نعيد صياغتها كليًا لتتحدث بلغة الثقافة السعودية. ستة أفكار كبرى:</w:t>
      </w:r>
    </w:p>
    <w:p>
      <w:pPr>
        <w:spacing w:after="100" w:before="1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B8860B"/>
          <w:sz w:val="28"/>
          <w:szCs w:val="28"/>
          <w:rtl/>
        </w:rPr>
        <w:t xml:space="preserve">الفكرة الأولى: «الأيقونة السعودية» (مستوحاة من ظاهرة الموناليزا)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الدرس العالمي: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80% من زوار اللوفر يأتون لرؤية الموناليزا – مرتكز علامة واحد يحدد هوية المكان.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التطبيق السعودي: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اختيار "أيقونة سعودية" واحدة من اقتناءات المتحف، وبناء كل الحملة حولها. المرشحون: تمثال تماء (ما قبل الإسلام)، مصحف ابن قاسم المفروش على الرمل، تاج ثمود، أو المجسم المصغّر للكعبة المشرفة.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كيف نفعّلها: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مسار مصمم يصل إليها كأنه قصة، إضاءة دراماتيكية، لافتات "على بعد 5 دقائق"، "على بعد دقيقتين"، ثم الكشف الكبير. وفي السوشيال: سلسلة "لماذا هذه القطعة مهمة" تكسر الإلفة.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B8860B"/>
          <w:sz w:val="28"/>
          <w:szCs w:val="28"/>
          <w:rtl/>
        </w:rPr>
        <w:t xml:space="preserve">الفكرة الثانية: «أنا في اللوحة» السعودية (مستوحاة من فلتر اللوفر)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الدرس العالمي: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أطلق اللوفر فلتر إنستقرام يضع المستخدم داخل لوحات شهيرة – حقق انتشارًا ضخمًا.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التطبيق السعودي: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فلاتر تضع الزائر في مشاهد من التاريخ السعودي: معركة توحيد، سوق عكاظ، طريق الحج القديم، رحلة ابن بطوطة في الجزيرة، سوق النفط في الأحساء الأولى.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المكسب: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كل فلتر يستخدمه المستخدم = إعلان عضوي مجاني، ويخلق ارتباطًا عاطفيًا مع المكان.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B8860B"/>
          <w:sz w:val="28"/>
          <w:szCs w:val="28"/>
          <w:rtl/>
        </w:rPr>
        <w:t xml:space="preserve">الفكرة الثالثة: «بدلا من القطعة» (مستوحاة من حملات Rijksmuseum)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الدرس العالمي: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حملة #AtHomeWithArt خلال 2020 دعت الناس لإعادة تشكيل اللوحات في بيوتهم.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التطبيق السعودي: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حملة #حكاية_جدي – ندعو السعوديين لالتقاط صور لأشياء في بيوتهم ورثوها (دلّة، بشت، مبخرة، جنبية، طائر مزخرف، صندوق مجوهرات) والمشاركة بقصتها. المتحف يعرض أفضل المشاركات في صالة مؤقتة باسم "متحف بيوتنا".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لماذا تنجح: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لأنها تقلب المعادلة: المتحف لا يُعلّم الناس بل يستمع إليهم.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B8860B"/>
          <w:sz w:val="28"/>
          <w:szCs w:val="28"/>
          <w:rtl/>
        </w:rPr>
        <w:t xml:space="preserve">الفكرة الرابعة: «ليلة في المتحف» السعودية (مستوحاة من الفعاليات الليلية في المتروبوليتان)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الدرس العالمي: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فعاليات Met After Hours تجلب جمهورًا شابًا بالكامل عبر مزج الفن مع الموسيقى والطعام.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التطبيق السعودي: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فعالية شهرية «سمَر المتحف» (كل خميس الأول من الشهر) تجمع بين: جولة مرشد بعد الإغلاق، عرض موسيقى شعبية حية (طبل، سمسمية، عرضة)، مأكولات سعودية تراثية، ورشة حرفية قصيرة (السدو، الخوص، الزخرفة النجدية). الدخول بتذكرة مدفوعة – منتج قابل للتحقيق ماليًا.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B8860B"/>
          <w:sz w:val="28"/>
          <w:szCs w:val="28"/>
          <w:rtl/>
        </w:rPr>
        <w:t xml:space="preserve">الفكرة الخامسة: «رواة سعوديون» (مستوحاة من شراكات المتاحف مع المؤثرين)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الدرس العالمي: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تعاون اللوفر والمتحف البريطاني مع مؤثرين لا يصورون اللوحة بل يروون قصتها.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التطبيق السعودي: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اختيار 10 "رواة سعوديين" من تخصصات مختلفة: شاعر شعبي، معلّم تاريخ، طاهٍ، مصمم أزياء، لاعب كرة، يوتيوبر رحلات، مؤرخ معماري... كل منهم يختار قاعة ويحكيها من زاويته. النتيجة: 10 حلقات عالية الإنتاج على يوتيوب، كل حلقة تصل لجمهور مختلف.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B8860B"/>
          <w:sz w:val="28"/>
          <w:szCs w:val="28"/>
          <w:rtl/>
        </w:rPr>
        <w:t xml:space="preserve">الفكرة السادسة: «خذ ذكرى» (مستوحاة من متجر LACMA ومتحف V&amp;A)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الدرس العالمي: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متاجر المتاحف ليست مجرد سوق، بل جزء من التجربة – "أخذت معي قطعة من التجربة".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التطبيق السعودي: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تطوير متجر المتحف ليصبح منصة لأفضل الحرفيين السعوديين: خزف الأحساء، السدو النجدي، القط العسيري، البسط الزلفاوية، العطور الشرقية، الورد الطائفي. كل منتج يحمل بطاقة "القصة" ومنشؤها يد محلية. هذا يخدم ثلاث جهات: المتحف (دخل إضافي)، الحرفي (دخل مستدام)، الزائر (ذكرى ذات معنى).</w:t>
      </w:r>
    </w:p>
    <w:p>
      <w:r>
        <w:br w:type="page"/>
      </w:r>
    </w:p>
    <w:p>
      <w:pPr>
        <w:pStyle w:val="Heading1"/>
        <w:pBdr>
          <w:bottom w:val="single" w:color="B8860B" w:sz="12" w:space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B5E20"/>
          <w:sz w:val="36"/>
          <w:szCs w:val="36"/>
          <w:rtl/>
        </w:rPr>
        <w:t xml:space="preserve">9. الخطة الرقمية ومنصات التواصل</w:t>
      </w:r>
    </w:p>
    <w:p>
      <w:pPr>
        <w:bidi/>
        <w:spacing w:after="120" w:before="8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  <w:rtl/>
        </w:rPr>
        <w:t xml:space="preserve">الحضور الرقمي ليس رفاهية، بل هو البوابة الأولى التي يدخل منها 73% من الزوار. لكل منصة دور مختلف: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B8860B"/>
          <w:sz w:val="28"/>
          <w:szCs w:val="28"/>
          <w:rtl/>
        </w:rPr>
        <w:t xml:space="preserve">إنستقرام – واجهة العلامة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الهدف: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بناء هوية بصرية قوية وتحويل المتابع إلى زائر فعلي.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المحتوى: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تصوير احترافي للقطع، ريلز قصيرة (60 ثانية)، كواليس ترميم، مقابلات خاطفة، عدّ تنازلي لافتتاحات.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الوتيرة: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5 منشورات أسبوعيًا + 10 قصص يوميًا.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الوسوم: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#حكاية_من_رمل #المتحف_الوطني #SaudiMuseum #StartHere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B8860B"/>
          <w:sz w:val="28"/>
          <w:szCs w:val="28"/>
          <w:rtl/>
        </w:rPr>
        <w:t xml:space="preserve">تيك توك – واجهة الشباب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الهدف: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تحويل التراث إلى محتوى قابل للمشاركة.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المحتوى: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تحديات تراثية، حقائق مفاجئة عن القطع ("هل تعلم أن هذا الإبريق من 1000 سنة؟")، تحويل ديكور البيوت القديمة إلى تريندات، "لو كان أجدادنا يصوّرون تيك توك".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التعاون: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10 صناع محتوى سعوديين أسبوعيًا.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B8860B"/>
          <w:sz w:val="28"/>
          <w:szCs w:val="28"/>
          <w:rtl/>
        </w:rPr>
        <w:t xml:space="preserve">يوتيوب – منصة العمق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الهدف: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محتوى طويل يبني السلطة الثقافية ويصل لجمهور عالمي.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المحتوى: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سلسلة "رواة سعوديون"، وثائقيات قصيرة (8–12 دقيقة) عن كل قاعة، لقاءات مع مؤرخين، خلف الكواليس.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B8860B"/>
          <w:sz w:val="28"/>
          <w:szCs w:val="28"/>
          <w:rtl/>
        </w:rPr>
        <w:t xml:space="preserve">X (تويتر سابقًا) – منصة الحوار الثقافي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الهدف: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التفاعل مع الحراك الثقافي اليومي وصنع مواقف إعلامية.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المحتوى: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خيوط تاريخية (Threads)، ردود ذكية على الأحداث الثقافية، قصص قصيرة مصحوبة بصور.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B8860B"/>
          <w:sz w:val="28"/>
          <w:szCs w:val="28"/>
          <w:rtl/>
        </w:rPr>
        <w:t xml:space="preserve">سناب شات – واجهة التفاعل المحلي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الهدف: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استقطاب الزوار من داخل الرياض وتحويل الزيارة إلى تجربة قابلة للمشاركة.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الأدوات: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فلاتر جغرافية داخل المتحف، عدسات AR تظهر الأثر "نابضًا بالحياة".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B8860B"/>
          <w:sz w:val="28"/>
          <w:szCs w:val="28"/>
          <w:rtl/>
        </w:rPr>
        <w:t xml:space="preserve">الموقع الإلكتروني والجولة الافتراضية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التطوير المقترح: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إعادة هيكلة الجولة الافتراضية الحالية لتصبح تجربة مصحوبة بسرد صوتي (اختيار صوت من خمسة: طفل، جدّة، مؤرخ، شاعر، أجنبي يكتشف). إضافة وضع VR متوافق مع نظارات Meta Quest.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B8860B"/>
          <w:sz w:val="28"/>
          <w:szCs w:val="28"/>
          <w:rtl/>
        </w:rPr>
        <w:t xml:space="preserve">تطبيق موبايل للمتحف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الميزات: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خارطة تفاعلية داخل المتحف، مسارات مخصصة حسب الوقت المتاح (30/60/120 دقيقة)، AR لتحريك القطع، رفع صور للمشاركة، بطاقة "حكايتي" تُطبَع عند المخرج.</w:t>
      </w:r>
    </w:p>
    <w:p>
      <w:r>
        <w:br w:type="page"/>
      </w:r>
    </w:p>
    <w:p>
      <w:pPr>
        <w:pStyle w:val="Heading1"/>
        <w:pBdr>
          <w:bottom w:val="single" w:color="B8860B" w:sz="12" w:space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B5E20"/>
          <w:sz w:val="36"/>
          <w:szCs w:val="36"/>
          <w:rtl/>
        </w:rPr>
        <w:t xml:space="preserve">10. الخطة التطويرية داخل المتحف</w:t>
      </w:r>
    </w:p>
    <w:p>
      <w:pPr>
        <w:bidi/>
        <w:spacing w:after="120" w:before="8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  <w:rtl/>
        </w:rPr>
        <w:t xml:space="preserve">التسويق لا ينجح إذا كان المنتج نفسه غير جاهز. هذه توصيات تطويرية للمتحف ذاته تدعم الحملة: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B8860B"/>
          <w:sz w:val="28"/>
          <w:szCs w:val="28"/>
          <w:rtl/>
        </w:rPr>
        <w:t xml:space="preserve">أولًا: هندسة تجربة الزيارة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تحديد مسار "حكاية من رمل" المقترح: مسار مدته ساعة ونصف يمر على 12 قطعة مختارة، تُروى كل واحدة منها بصوت شخصية مختلفة عبر سماعات لاسلكية.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نقاط توقّف للتصوير (Photo Points) مصممة بعناية – بإضاءة وزاوية مثالية – لأن المحتوى الذي ينتجه الزائر = إعلان مجاني.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"ركن القصة" في نهاية الجولة: شاشة تفاعلية يكتب فيها الزائر حكايته مع زيارة المتحف وتُعرض على شاشة جماعية.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B8860B"/>
          <w:sz w:val="28"/>
          <w:szCs w:val="28"/>
          <w:rtl/>
        </w:rPr>
        <w:t xml:space="preserve">ثانيًا: إضافات تفاعلية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جدار "اكتب بالخط العربي" – شاشة لمس يجرب عليها الزائر كتابة اسمه بخط الثلث أو الديواني ويطبعه.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محطة "رائحة التاريخ" – جهاز عطور يطلق روائح من حقب مختلفة (بخور المعابد، عود الكعبة، رائحة السوق، رائحة خيمة بدوية).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طاولة تفاعلية تعرض خريطة الجزيرة العربية عبر العصور، يغير فيها الزائر القرن فيرى كيف تتبدل الحدود والطرق.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ركن "سمّع جدتك" – تسجيل صوتي يستمع فيه الزائر لحكايات جدات سعوديات من مناطق مختلفة.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B8860B"/>
          <w:sz w:val="28"/>
          <w:szCs w:val="28"/>
          <w:rtl/>
        </w:rPr>
        <w:t xml:space="preserve">ثالثًا: إضافة الأبعاد الحسية الخمسة</w:t>
      </w:r>
    </w:p>
    <w:p>
      <w:pPr>
        <w:bidi/>
        <w:spacing w:after="120" w:before="8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  <w:rtl/>
        </w:rPr>
        <w:t xml:space="preserve">القاعدة: المتحف الذي يُرى فقط، يُنسى. المتحف الذي يُسمع ويُشَمّ ويُلمس ويُذاق – يُتذكَّر. نقترح أن يحتوي كل قسم على: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صوت مميز: خلفية صوتية خفيفة (طبل شعبي في القاعة الجاهلية، أذان هادئ في قاعة الإسلام، صوت البحر في قاعة التجارة).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رائحة مميزة: حسب ما ذُكر أعلاه.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لمسة واحدة على الأقل: نسخة طبق الأصل من قطعة يمكن لمسها فعليًا.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ذوق مميز في الكافيه: قائمة تعرض "أطباقًا من التاريخ" (جريش، مرقوق، قهوة بالزعفران، تمر محشي).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B8860B"/>
          <w:sz w:val="28"/>
          <w:szCs w:val="28"/>
          <w:rtl/>
        </w:rPr>
        <w:t xml:space="preserve">رابعًا: تجديد الهوية البصرية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تطوير شعار فرعي لحملة «حكاية من رمل» – يحافظ على هوية المتحف الرسمية مع إضافة نفَس معاصر.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لوحة ألوان مستوحاة من رمال نفود والربع الخالي (بيج، ذهبي، أخضر نخيل، أزرق ليل الصحراء).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نظام خطوط يجمع بين خط عربي أصيل (الديواني) وخط لاتيني نظيف للمحتوى الدولي.</w:t>
      </w:r>
    </w:p>
    <w:p>
      <w:r>
        <w:br w:type="page"/>
      </w:r>
    </w:p>
    <w:p>
      <w:pPr>
        <w:pStyle w:val="Heading1"/>
        <w:pBdr>
          <w:bottom w:val="single" w:color="B8860B" w:sz="12" w:space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B5E20"/>
          <w:sz w:val="36"/>
          <w:szCs w:val="36"/>
          <w:rtl/>
        </w:rPr>
        <w:t xml:space="preserve">11. التقويم الفعالياتي السنوي</w:t>
      </w:r>
    </w:p>
    <w:p>
      <w:pPr>
        <w:bidi/>
        <w:spacing w:after="120" w:before="8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  <w:rtl/>
        </w:rPr>
        <w:t xml:space="preserve">فعاليات موزعة على السنة، مربوطة بالمناسبات المحلية والعالمية، بحيث لا يمر شهر دون سبب للزيارة.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c>
          <w:tcPr>
            <w:tcW w:type="dxa" w:w="156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1B5E20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الشهر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1B5E20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الفعالية</w:t>
            </w:r>
          </w:p>
        </w:tc>
        <w:tc>
          <w:tcPr>
            <w:tcW w:type="dxa" w:w="468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1B5E20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الفكرة المختصرة</w:t>
            </w:r>
          </w:p>
        </w:tc>
      </w:tr>
      <w:tr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يناير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الافتتاح الكبير – «حكاية من رمل»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حدث إعلامي يكشف الهوية الجديدة والمسار المطوَّر، مع عرض ضوئي على واجهة المتحف.</w:t>
            </w:r>
          </w:p>
        </w:tc>
      </w:tr>
      <w:tr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فبراير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يوم التأسيس (22 فبراير)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فعاليات "ذاكرة الدار" بنسخة موسعة: أزياء العز، مسرح الظل، ألعاب تفاعلية من قاعات المتحف.</w:t>
            </w:r>
          </w:p>
        </w:tc>
      </w:tr>
      <w:tr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مارس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رمضان في المتحف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فتح مسائي يومي مع برامج ثقافية رمضانية، وإفطار جماعي أسبوعي في فناء المتحف.</w:t>
            </w:r>
          </w:p>
        </w:tc>
      </w:tr>
      <w:tr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أبريل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عيد الفطر + أسبوع الأسرة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ورش عائلية، تحدي "صورة معلّمنا في المتحف"، هدايا تراثية للأطفال.</w:t>
            </w:r>
          </w:p>
        </w:tc>
      </w:tr>
      <w:tr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مايو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اليوم العالمي للمتاحف (18 مايو)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مبادلة افتراضية مع متاحف دولية – عرض قطعة سعودية في متحف أجنبي والعكس.</w:t>
            </w:r>
          </w:p>
        </w:tc>
      </w:tr>
      <w:tr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يونيو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صيف المتحف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تجربة تبريد فنية داخل المتحف + تخفيض تذاكر الطلاب + أسبوع "مكيف بالقصص".</w:t>
            </w:r>
          </w:p>
        </w:tc>
      </w:tr>
      <w:tr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يوليو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مهرجان الحِرف اليدوية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استضافة 30 حرفيًا من مختلف مناطق المملكة لثلاثة أيام.</w:t>
            </w:r>
          </w:p>
        </w:tc>
      </w:tr>
      <w:tr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أغسطس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العودة للمدارس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برنامج "المتحف قبل المدرسة" – زيارات مدرسية مجانية مصحوبة بأنشطة.</w:t>
            </w:r>
          </w:p>
        </w:tc>
      </w:tr>
      <w:tr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سبتمبر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اليوم الوطني (23 سبتمبر)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فعالية «شجرة الوطن» – كل زائر يكتب كلمة ويعلقها على شجرة رقمية عملاقة.</w:t>
            </w:r>
          </w:p>
        </w:tc>
      </w:tr>
      <w:tr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أكتوبر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ليلة الفن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فنانون سعوديون يستلهمون من قاعات المتحف ويعرضون أعمالهم الجديدة في ليلة واحدة.</w:t>
            </w:r>
          </w:p>
        </w:tc>
      </w:tr>
      <w:tr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نوفمبر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أسبوع الشعر والتاريخ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شعراء معاصرون يكتبون قصائد لقطع أثرية يختارونها – ينشر الكتاب في نهاية الأسبوع.</w:t>
            </w:r>
          </w:p>
        </w:tc>
      </w:tr>
      <w:tr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ديسمبر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ختام السنة + معرض مؤقت كبير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كشف معرض مؤقت جديد كل عام يكون "حدث الموسم".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12" w:space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B5E20"/>
          <w:sz w:val="36"/>
          <w:szCs w:val="36"/>
          <w:rtl/>
        </w:rPr>
        <w:t xml:space="preserve">12. الشراكات الاستراتيجية</w:t>
      </w:r>
    </w:p>
    <w:p>
      <w:pPr>
        <w:bidi/>
        <w:spacing w:after="120" w:before="8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  <w:rtl/>
        </w:rPr>
        <w:t xml:space="preserve">القوة الناعمة للمتحف تتضاعف بالشركاء. نقترح أربع دوائر شراكات: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B8860B"/>
          <w:sz w:val="28"/>
          <w:szCs w:val="28"/>
          <w:rtl/>
        </w:rPr>
        <w:t xml:space="preserve">الدائرة الأولى: شراكات حكومية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هيئة السياحة – لربط المتحف بخرائط الزيارة الرسمية للسياح الدوليين.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وزارة التعليم – لإدراج زيارة المتحف ضمن المسار المدرسي الإلزامي.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هيئة الترفيه – للتنسيق في الفعاليات الموسمية.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هيئة الأدب والنشر – لمشاريع الكتب المصاحبة للمعارض.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B8860B"/>
          <w:sz w:val="28"/>
          <w:szCs w:val="28"/>
          <w:rtl/>
        </w:rPr>
        <w:t xml:space="preserve">الدائرة الثانية: شراكات تجارية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الخطوط السعودية – عرض محتوى المتحف في الرحلات الدولية كـ"أول مقدمة عن المملكة".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stc وMobily وZain – شراكة في تطبيق المتحف والخدمات الرقمية.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sabb والراجحي والبنوك الكبرى – تذاكر خاصة لعملاء البطاقات الذهبية.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علامات القهوة المحلية (%Arabica، نفق، جايبون) – ركن قهوة بهوية المتحف.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B8860B"/>
          <w:sz w:val="28"/>
          <w:szCs w:val="28"/>
          <w:rtl/>
        </w:rPr>
        <w:t xml:space="preserve">الدائرة الثالثة: شراكات ثقافية دولية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متحف اللوفر أبوظبي – معرض مشترك "طرق البخور".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المتحف البريطاني – تبادل قطع مؤقت.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متحف آغا خان – معارض عن الفن الإسلامي.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اليونسكو – تسليط الضوء على المواقع السعودية المسجلة.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B8860B"/>
          <w:sz w:val="28"/>
          <w:szCs w:val="28"/>
          <w:rtl/>
        </w:rPr>
        <w:t xml:space="preserve">الدائرة الرابعة: شراكات مع المبدعين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بيت الشعر – أمسيات شهرية.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استوديوهات سعودية (روايات فيلم كير، تلفاز 11، ميمو) – إنتاج محتوى عالي الجودة.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مصممون سعوديون (ناشي، حندورة، بشائر) – تصاميم حصرية لمتجر المتحف.</w:t>
      </w:r>
    </w:p>
    <w:p>
      <w:pPr>
        <w:pStyle w:val="ListParagraph"/>
        <w:numPr>
          <w:ilvl w:val="0"/>
          <w:numId w:val="2"/>
        </w:numPr>
        <w:bidi/>
        <w:spacing w:after="40" w:before="40" w:line="320"/>
        <w:jc w:val="right"/>
      </w:pP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جامعات محلية (الملك سعود، الأميرة نورة، الفيصل) – أبحاث ومحاضرات.</w:t>
      </w:r>
    </w:p>
    <w:p>
      <w:r>
        <w:br w:type="page"/>
      </w:r>
    </w:p>
    <w:p>
      <w:pPr>
        <w:pStyle w:val="Heading1"/>
        <w:pBdr>
          <w:bottom w:val="single" w:color="B8860B" w:sz="12" w:space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B5E20"/>
          <w:sz w:val="36"/>
          <w:szCs w:val="36"/>
          <w:rtl/>
        </w:rPr>
        <w:t xml:space="preserve">13. خارطة الطريق والمراحل الزمنية</w:t>
      </w:r>
    </w:p>
    <w:p>
      <w:pPr>
        <w:bidi/>
        <w:spacing w:after="120" w:before="8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  <w:rtl/>
        </w:rPr>
        <w:t xml:space="preserve">خطة تنفيذ على 12 شهرًا مقسمة إلى أربع مراحل.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80"/>
        <w:gridCol w:w="5720"/>
      </w:tblGrid>
      <w:tr>
        <w:tc>
          <w:tcPr>
            <w:tcW w:type="dxa" w:w="156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1B5E20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المرحلة</w:t>
            </w:r>
          </w:p>
        </w:tc>
        <w:tc>
          <w:tcPr>
            <w:tcW w:type="dxa" w:w="208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1B5E20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الفترة</w:t>
            </w:r>
          </w:p>
        </w:tc>
        <w:tc>
          <w:tcPr>
            <w:tcW w:type="dxa" w:w="57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1B5E20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المحاور الرئيسية</w:t>
            </w:r>
          </w:p>
        </w:tc>
      </w:tr>
      <w:tr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الأولى: التأسيس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الشهر 1–3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تحديث الهوية البصرية، إعادة هيكلة الجولة، تصوير المحتوى الأساسي، إطلاق الموقع والتطبيق، تعاقدات المؤثرين.</w:t>
            </w:r>
          </w:p>
        </w:tc>
      </w:tr>
      <w:tr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الثانية: الإطلاق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الشهر 4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حدث الافتتاح الكبير، حملة إعلامية مركّزة، إطلاق فلاتر السوشيال، أول موجة من حلقات «رواة سعوديون».</w:t>
            </w:r>
          </w:p>
        </w:tc>
      </w:tr>
      <w:tr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الثالثة: النمو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الشهر 5–9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تنفيذ التقويم الفعالياتي، حملات المواسم، قياس وتحسين الأداء، توسيع الشراكات، إدخال «سمَر المتحف» الشهري.</w:t>
            </w:r>
          </w:p>
        </w:tc>
      </w:tr>
      <w:tr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الرابعة: الترسيخ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الشهر 10–12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الحملة الدولية (إنجليزي)، استقطاب السياح، تقييم السنة الأولى، خطة السنة الثانية.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12" w:space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B5E20"/>
          <w:sz w:val="36"/>
          <w:szCs w:val="36"/>
          <w:rtl/>
        </w:rPr>
        <w:t xml:space="preserve">14. هيكل الميزانية المقترح</w:t>
      </w:r>
    </w:p>
    <w:p>
      <w:pPr>
        <w:bidi/>
        <w:spacing w:after="120" w:before="8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  <w:rtl/>
        </w:rPr>
        <w:t xml:space="preserve">نقدّم الميزانية كإطار نسبي لحين الجلسة التفصيلية مع فريق المتحف، لأن الأرقام النهائية تتحدد بعد اتفاقٍ على نطاق العمل والأولويات. النسب تقديرية من إجمالي الميزانية السنوية: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1B5E20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البند</w:t>
            </w:r>
          </w:p>
        </w:tc>
        <w:tc>
          <w:tcPr>
            <w:tcW w:type="dxa" w:w="234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1B5E20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النسبة التقديرية</w:t>
            </w:r>
          </w:p>
        </w:tc>
        <w:tc>
          <w:tcPr>
            <w:tcW w:type="dxa" w:w="234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1B5E20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ملاحظة</w:t>
            </w:r>
          </w:p>
        </w:tc>
      </w:tr>
      <w:tr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الإنتاج الإبداعي (تصوير، فيديو، تصميم)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25%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الأساس البصري للحملة</w:t>
            </w:r>
          </w:p>
        </w:tc>
      </w:tr>
      <w:tr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الإعلام الرقمي المدفوع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20%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Meta + TikTok + Google</w:t>
            </w:r>
          </w:p>
        </w:tc>
      </w:tr>
      <w:tr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التطوير الداخلي للمتحف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20%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التجارب الحسية + الإضافات التقنية</w:t>
            </w:r>
          </w:p>
        </w:tc>
      </w:tr>
      <w:tr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الفعاليات والمعارض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15%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التقويم السنوي</w:t>
            </w:r>
          </w:p>
        </w:tc>
      </w:tr>
      <w:tr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المؤثرون والرواة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10%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10 رواة + شبكة مؤثرين</w:t>
            </w:r>
          </w:p>
        </w:tc>
      </w:tr>
      <w:tr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العلاقات العامة والإعلام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5%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حضور تلفزيوني + صحافة</w:t>
            </w:r>
          </w:p>
        </w:tc>
      </w:tr>
      <w:tr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shd w:fill="EFE7D6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C1810"/>
                <w:sz w:val="20"/>
                <w:szCs w:val="20"/>
                <w:rtl/>
              </w:rPr>
              <w:t xml:space="preserve">القياس والتحسين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5%</w:t>
            </w:r>
          </w:p>
        </w:tc>
        <w:tc>
          <w:tcPr>
            <w:tcW w:type="dxa" w:w="3120"/>
            <w:tcBorders>
              <w:top w:val="single" w:color="C9B98C" w:sz="4"/>
              <w:left w:val="single" w:color="C9B98C" w:sz="4"/>
              <w:bottom w:val="single" w:color="C9B98C" w:sz="4"/>
              <w:right w:val="single" w:color="C9B98C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bidi/>
              <w:spacing w:after="20" w:before="20" w:line="3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1810"/>
                <w:sz w:val="20"/>
                <w:szCs w:val="20"/>
                <w:rtl/>
              </w:rPr>
              <w:t xml:space="preserve">أدوات تحليل + تقارير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B8860B"/>
          <w:sz w:val="28"/>
          <w:szCs w:val="28"/>
          <w:rtl/>
        </w:rPr>
        <w:t xml:space="preserve">عائد الاستثمار المتوقع</w:t>
      </w:r>
    </w:p>
    <w:p>
      <w:pPr>
        <w:bidi/>
        <w:spacing w:after="120" w:before="8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  <w:rtl/>
        </w:rPr>
        <w:t xml:space="preserve">لا يمكن قياس نجاح المتحف بالإيرادات المباشرة فقط، لكن نضع ثلاث طبقات من العائد: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الطبقة الاقتصادية المباشرة: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إيرادات التذاكر، المتجر، الفعاليات المدفوعة، الشراكات.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الطبقة الاقتصادية غير المباشرة: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حركة سياحية، إنفاق الزوار على الفنادق والمطاعم، دعم الحرفيين المحليين.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الطبقة الحضارية: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بناء ذاكرة جماعية، ترسيخ هوية وطنية، إعلاء صوت الثقافة السعودية عالميًا. وهذه الأخيرة – وإن كانت الأصعب قياسًا – هي الأغلى.</w:t>
      </w:r>
    </w:p>
    <w:p>
      <w:r>
        <w:br w:type="page"/>
      </w:r>
    </w:p>
    <w:p>
      <w:pPr>
        <w:pStyle w:val="Heading1"/>
        <w:pBdr>
          <w:bottom w:val="single" w:color="B8860B" w:sz="12" w:space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B5E20"/>
          <w:sz w:val="36"/>
          <w:szCs w:val="36"/>
          <w:rtl/>
        </w:rPr>
        <w:t xml:space="preserve">15. لماذا نحن</w:t>
      </w:r>
    </w:p>
    <w:p>
      <w:pPr>
        <w:bidi/>
        <w:spacing w:after="120" w:before="8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1810"/>
          <w:sz w:val="22"/>
          <w:szCs w:val="22"/>
          <w:rtl/>
        </w:rPr>
        <w:t xml:space="preserve">في قطاع الدعاية السعودي أسماء أكبر منّا وأقدم. لكننا نؤمن أن هذا المشروع تحديدًا يحتاج شيئًا غير الحجم: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نؤمن بالمشروع شخصيًا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– لسنا هنا لحملة ننجزها وننتقل، بل لبناء سردية نحن جزء منها.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نفهم الجيل الجديد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– لأننا منه، نعرف كيف يفكر، وكيف يشارك، وما الذي يستحق عنده ساعتين من وقته.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نحترم المحتوى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– لن نقع في فخ التبسيط المخل الذي يحوّل التراث إلى "ميم". التراث يحترم عندما يُروى، لا عندما يُستسهَل.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نعمل بشفافية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– تقارير شهرية مفصّلة، مؤشرات مباشرة، تعديلات بناءً على الأداء لا على الحدس.</w:t>
      </w:r>
    </w:p>
    <w:p>
      <w:pPr>
        <w:pStyle w:val="ListParagraph"/>
        <w:numPr>
          <w:ilvl w:val="0"/>
          <w:numId w:val="2"/>
        </w:numPr>
        <w:bidi/>
        <w:spacing w:after="50" w:before="50" w:line="320"/>
        <w:jc w:val="right"/>
      </w:pPr>
      <w:r>
        <w:rPr>
          <w:rFonts w:ascii="Arial" w:cs="Arial" w:eastAsia="Arial" w:hAnsi="Arial"/>
          <w:b/>
          <w:bCs/>
          <w:color w:val="1B5E20"/>
          <w:sz w:val="22"/>
          <w:szCs w:val="22"/>
          <w:rtl/>
        </w:rPr>
        <w:t xml:space="preserve">نتعلّم معكم</w:t>
      </w:r>
      <w:r>
        <w:rPr>
          <w:rFonts w:ascii="Arial" w:cs="Arial" w:eastAsia="Arial" w:hAnsi="Arial"/>
          <w:color w:val="2C1810"/>
          <w:sz w:val="22"/>
          <w:szCs w:val="22"/>
          <w:rtl/>
        </w:rPr>
        <w:t xml:space="preserve"> – نؤمن أن أي حملة ناجحة هي حوار، لا بث. ستجدون فينا فريقًا يسمع قبل أن يقترح.</w:t>
      </w:r>
    </w:p>
    <w:p>
      <w:pPr>
        <w:spacing w:after="400" w:before="400"/>
      </w:pPr>
      <w:r>
        <w:t xml:space="preserve"/>
      </w:r>
    </w:p>
    <w:p>
      <w:pPr>
        <w:pBdr>
          <w:top w:val="single" w:color="B8860B" w:sz="24" w:space="10"/>
          <w:bottom w:val="single" w:color="B8860B" w:sz="24" w:space="10"/>
        </w:pBdr>
        <w:bidi/>
        <w:spacing w:after="200" w:before="400"/>
        <w:jc w:val="center"/>
      </w:pPr>
      <w:r>
        <w:rPr>
          <w:rFonts w:ascii="Arial" w:cs="Arial" w:eastAsia="Arial" w:hAnsi="Arial"/>
          <w:b/>
          <w:bCs/>
          <w:i/>
          <w:iCs/>
          <w:color w:val="1B5E20"/>
          <w:sz w:val="26"/>
          <w:szCs w:val="26"/>
          <w:rtl/>
        </w:rPr>
        <w:t xml:space="preserve">إذا كانت المملكة تكتب اليوم فصلًا جديدًا من تاريخها، فالمتحف الوطني هو المكان الذي يذكّرنا بكل الفصول السابقة. شرف لنا أن نشارك في روايته.</w:t>
      </w:r>
    </w:p>
    <w:p>
      <w:pPr>
        <w:spacing w:after="400" w:before="400"/>
      </w:pPr>
      <w:r>
        <w:t xml:space="preserve"/>
      </w:r>
    </w:p>
    <w:p>
      <w:pPr>
        <w:bidi/>
        <w:spacing w:before="200"/>
        <w:jc w:val="center"/>
      </w:pPr>
      <w:r>
        <w:rPr>
          <w:rFonts w:ascii="Arial" w:cs="Arial" w:eastAsia="Arial" w:hAnsi="Arial"/>
          <w:color w:val="6B5B4B"/>
          <w:sz w:val="24"/>
          <w:szCs w:val="24"/>
          <w:rtl/>
        </w:rPr>
        <w:t xml:space="preserve">— مع خالص التقدير —</w:t>
      </w:r>
    </w:p>
    <w:p>
      <w:pPr>
        <w:bidi/>
        <w:spacing w:before="160"/>
        <w:jc w:val="center"/>
      </w:pPr>
      <w:r>
        <w:rPr>
          <w:rFonts w:ascii="Arial" w:cs="Arial" w:eastAsia="Arial" w:hAnsi="Arial"/>
          <w:b/>
          <w:bCs/>
          <w:color w:val="2C1810"/>
          <w:sz w:val="26"/>
          <w:szCs w:val="26"/>
          <w:rtl/>
        </w:rPr>
        <w:t xml:space="preserve">فريق وكالة الدعاية والإعلان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B98C" w:sz="6" w:space="4"/>
      </w:pBdr>
      <w:bidi/>
      <w:jc w:val="center"/>
    </w:pPr>
    <w:r>
      <w:rPr>
        <w:rFonts w:ascii="Arial" w:cs="Arial" w:eastAsia="Arial" w:hAnsi="Arial"/>
        <w:color w:val="6B5B4B"/>
        <w:sz w:val="18"/>
        <w:szCs w:val="18"/>
        <w:rtl/>
      </w:rPr>
      <w:t xml:space="preserve">صفحة </w:t>
    </w:r>
    <w:r>
      <w:rPr>
        <w:rFonts w:ascii="Arial" w:cs="Arial" w:eastAsia="Arial" w:hAnsi="Arial"/>
        <w:color w:val="6B5B4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5B4B"/>
        <w:sz w:val="18"/>
        <w:szCs w:val="18"/>
        <w:rtl/>
      </w:rPr>
      <w:t xml:space="preserve"> من </w:t>
    </w:r>
    <w:r>
      <w:rPr>
        <w:rFonts w:ascii="Arial" w:cs="Arial" w:eastAsia="Arial" w:hAnsi="Arial"/>
        <w:color w:val="6B5B4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B98C" w:sz="6" w:space="4"/>
      </w:pBdr>
      <w:bidi/>
      <w:jc w:val="center"/>
    </w:pPr>
    <w:r>
      <w:rPr>
        <w:rFonts w:ascii="Arial" w:cs="Arial" w:eastAsia="Arial" w:hAnsi="Arial"/>
        <w:i/>
        <w:iCs/>
        <w:color w:val="6B5B4B"/>
        <w:sz w:val="18"/>
        <w:szCs w:val="18"/>
        <w:rtl/>
      </w:rPr>
      <w:t xml:space="preserve">بروبوزل المتحف الوطني السعودي  |  حكاية من رمل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right"/>
      <w:pPr>
        <w:ind w:right="360" w:hanging="220"/>
      </w:pPr>
      <w:rPr>
        <w:color w:val="B8860B"/>
      </w:rPr>
    </w:lvl>
    <w:lvl w:ilvl="1" w15:tentative="1">
      <w:start w:val="1"/>
      <w:numFmt w:val="bullet"/>
      <w:lvlText w:val="○"/>
      <w:lvlJc w:val="right"/>
      <w:pPr>
        <w:ind w:righ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B8860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بروبوزل المتحف الوطني السعودي</dc:title>
  <dc:creator>Advertising Agency</dc:creator>
  <dc:description>خطة تسويقية وتطويرية للمتحف الوطني السعودي</dc:description>
  <cp:lastModifiedBy>Un-named</cp:lastModifiedBy>
  <cp:revision>1</cp:revision>
  <dcterms:created xsi:type="dcterms:W3CDTF">2026-04-22T23:09:12.003Z</dcterms:created>
  <dcterms:modified xsi:type="dcterms:W3CDTF">2026-04-22T23:09:12.004Z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