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Collaboration Diagram - Study Assistant</w:t>
      </w:r>
    </w:p>
    <w:p>
      <w:r>
        <w:t>This diagram illustrates the structural relationships and message exchanges between the core components of the Study Assistant.</w:t>
      </w:r>
    </w:p>
    <w:p>
      <w:pPr>
        <w:pStyle w:val="Heading1"/>
      </w:pPr>
      <w:r>
        <w:t>Collaboration / Communication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9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ollabo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Collaborations</w:t>
      </w:r>
    </w:p>
    <w:p>
      <w:pPr>
        <w:pStyle w:val="ListBullet"/>
      </w:pPr>
      <w:r>
        <w:rPr>
          <w:b/>
        </w:rPr>
        <w:t xml:space="preserve">Views &amp; Services: </w:t>
      </w:r>
      <w:r>
        <w:t>Views delegate complex logic, such as AI analysis and messaging, to the Services layer to ensure clean separation of concerns.</w:t>
      </w:r>
    </w:p>
    <w:p>
      <w:pPr>
        <w:pStyle w:val="ListBullet"/>
      </w:pPr>
      <w:r>
        <w:rPr>
          <w:b/>
        </w:rPr>
        <w:t xml:space="preserve">Services &amp; Models: </w:t>
      </w:r>
      <w:r>
        <w:t>Services collaborate with Models to persist interaction logs, outbound message statuses, and performance data.</w:t>
      </w:r>
    </w:p>
    <w:p>
      <w:pPr>
        <w:pStyle w:val="ListBullet"/>
      </w:pPr>
      <w:r>
        <w:rPr>
          <w:b/>
        </w:rPr>
        <w:t xml:space="preserve">Internal &amp; External Engines: </w:t>
      </w:r>
      <w:r>
        <w:t>The system collaborates with AI (Gemini/Groq) for content generation and Twilio for real-time guardian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