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left"/>
      </w:pPr>
      <w:r>
        <w:rPr>
          <w:rFonts w:ascii="Calibri" w:hAnsi="Calibri"/>
          <w:b/>
          <w:i w:val="0"/>
          <w:color w:val="143D6B"/>
          <w:sz w:val="56"/>
        </w:rPr>
        <w:t>Care Nova AI</w:t>
      </w:r>
    </w:p>
    <w:p>
      <w:pPr>
        <w:spacing w:before="0" w:after="240" w:line="276" w:lineRule="auto"/>
      </w:pPr>
      <w:r>
        <w:rPr>
          <w:rFonts w:ascii="Calibri" w:hAnsi="Calibri"/>
          <w:b w:val="0"/>
          <w:i w:val="0"/>
          <w:color w:val="576779"/>
          <w:sz w:val="26"/>
        </w:rPr>
        <w:t>Architecture, build logic, runtime workflow, knowledge retrieval, storage model, and operating behavior</w:t>
      </w:r>
    </w:p>
    <w:p>
      <w:pPr>
        <w:spacing w:before="0" w:after="200" w:line="276" w:lineRule="auto"/>
      </w:pPr>
      <w:r>
        <w:rPr>
          <w:rFonts w:ascii="Calibri" w:hAnsi="Calibri"/>
          <w:b w:val="0"/>
          <w:i w:val="0"/>
          <w:color w:val="112133"/>
          <w:sz w:val="22"/>
        </w:rPr>
        <w:t>This document is a code-grounded technical research note built from the current Care Nova AI repository. It explains what the model actually is, how it is built, how a request flows through the system, where data lives, how offline and online paths differ, and which files implement each major subsystem.</w:t>
      </w:r>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tcMar>
              <w:top w:w="90" w:type="dxa"/>
              <w:start w:w="120" w:type="dxa"/>
              <w:bottom w:w="90" w:type="dxa"/>
              <w:end w:w="120" w:type="dxa"/>
            </w:tcMar>
            <w:shd w:fill="F3F6FA"/>
          </w:tcPr>
          <w:p>
            <w:pPr>
              <w:spacing w:before="0" w:after="0" w:line="240" w:lineRule="auto"/>
            </w:pPr>
            <w:r>
              <w:rPr>
                <w:rFonts w:ascii="Calibri" w:hAnsi="Calibri"/>
                <w:b/>
                <w:i w:val="0"/>
                <w:color w:val="576779"/>
                <w:sz w:val="21"/>
              </w:rPr>
              <w:t>Field</w:t>
            </w:r>
          </w:p>
        </w:tc>
        <w:tc>
          <w:tcPr>
            <w:tcW w:type="dxa" w:w="6480"/>
            <w:tcMar>
              <w:top w:w="90" w:type="dxa"/>
              <w:start w:w="120" w:type="dxa"/>
              <w:bottom w:w="90" w:type="dxa"/>
              <w:end w:w="120" w:type="dxa"/>
            </w:tcMar>
            <w:shd w:fill="F3F6FA"/>
          </w:tcPr>
          <w:p>
            <w:pPr>
              <w:spacing w:before="0" w:after="0" w:line="240" w:lineRule="auto"/>
            </w:pPr>
            <w:r>
              <w:rPr>
                <w:rFonts w:ascii="Calibri" w:hAnsi="Calibri"/>
                <w:b/>
                <w:i w:val="0"/>
                <w:color w:val="576779"/>
                <w:sz w:val="21"/>
              </w:rPr>
              <w:t>Value</w:t>
            </w:r>
          </w:p>
        </w:tc>
      </w:tr>
      <w:tr>
        <w:tc>
          <w:tcPr>
            <w:tcW w:type="dxa" w:w="2880"/>
          </w:tcPr>
          <w:p>
            <w:pPr>
              <w:spacing w:before="0" w:after="0" w:line="240" w:lineRule="auto"/>
            </w:pPr>
            <w:r>
              <w:rPr>
                <w:rFonts w:ascii="Calibri" w:hAnsi="Calibri"/>
                <w:b w:val="0"/>
                <w:i w:val="0"/>
                <w:color w:val="112133"/>
                <w:sz w:val="21"/>
              </w:rPr>
              <w:t>App version</w:t>
            </w:r>
          </w:p>
        </w:tc>
        <w:tc>
          <w:tcPr>
            <w:tcW w:type="dxa" w:w="6480"/>
          </w:tcPr>
          <w:p>
            <w:pPr>
              <w:spacing w:before="0" w:after="0" w:line="240" w:lineRule="auto"/>
            </w:pPr>
            <w:r>
              <w:rPr>
                <w:rFonts w:ascii="Calibri" w:hAnsi="Calibri"/>
                <w:b w:val="0"/>
                <w:i w:val="0"/>
                <w:color w:val="112133"/>
                <w:sz w:val="21"/>
              </w:rPr>
              <w:t>5.0.343</w:t>
            </w:r>
          </w:p>
        </w:tc>
      </w:tr>
      <w:tr>
        <w:tc>
          <w:tcPr>
            <w:tcW w:type="dxa" w:w="2880"/>
          </w:tcPr>
          <w:p>
            <w:pPr>
              <w:spacing w:before="0" w:after="0" w:line="240" w:lineRule="auto"/>
            </w:pPr>
            <w:r>
              <w:rPr>
                <w:rFonts w:ascii="Calibri" w:hAnsi="Calibri"/>
                <w:b w:val="0"/>
                <w:i w:val="0"/>
                <w:color w:val="112133"/>
                <w:sz w:val="21"/>
              </w:rPr>
              <w:t>Node runtime target</w:t>
            </w:r>
          </w:p>
        </w:tc>
        <w:tc>
          <w:tcPr>
            <w:tcW w:type="dxa" w:w="6480"/>
          </w:tcPr>
          <w:p>
            <w:pPr>
              <w:spacing w:before="0" w:after="0" w:line="240" w:lineRule="auto"/>
            </w:pPr>
            <w:r>
              <w:rPr>
                <w:rFonts w:ascii="Calibri" w:hAnsi="Calibri"/>
                <w:b w:val="0"/>
                <w:i w:val="0"/>
                <w:color w:val="112133"/>
                <w:sz w:val="21"/>
              </w:rPr>
              <w:t>&gt;=25.0.0</w:t>
            </w:r>
          </w:p>
        </w:tc>
      </w:tr>
      <w:tr>
        <w:tc>
          <w:tcPr>
            <w:tcW w:type="dxa" w:w="2880"/>
          </w:tcPr>
          <w:p>
            <w:pPr>
              <w:spacing w:before="0" w:after="0" w:line="240" w:lineRule="auto"/>
            </w:pPr>
            <w:r>
              <w:rPr>
                <w:rFonts w:ascii="Calibri" w:hAnsi="Calibri"/>
                <w:b w:val="0"/>
                <w:i w:val="0"/>
                <w:color w:val="112133"/>
                <w:sz w:val="21"/>
              </w:rPr>
              <w:t>Detected API endpoints</w:t>
            </w:r>
          </w:p>
        </w:tc>
        <w:tc>
          <w:tcPr>
            <w:tcW w:type="dxa" w:w="6480"/>
          </w:tcPr>
          <w:p>
            <w:pPr>
              <w:spacing w:before="0" w:after="0" w:line="240" w:lineRule="auto"/>
            </w:pPr>
            <w:r>
              <w:rPr>
                <w:rFonts w:ascii="Calibri" w:hAnsi="Calibri"/>
                <w:b w:val="0"/>
                <w:i w:val="0"/>
                <w:color w:val="112133"/>
                <w:sz w:val="21"/>
              </w:rPr>
              <w:t>49</w:t>
            </w:r>
          </w:p>
        </w:tc>
      </w:tr>
      <w:tr>
        <w:tc>
          <w:tcPr>
            <w:tcW w:type="dxa" w:w="2880"/>
          </w:tcPr>
          <w:p>
            <w:pPr>
              <w:spacing w:before="0" w:after="0" w:line="240" w:lineRule="auto"/>
            </w:pPr>
            <w:r>
              <w:rPr>
                <w:rFonts w:ascii="Calibri" w:hAnsi="Calibri"/>
                <w:b w:val="0"/>
                <w:i w:val="0"/>
                <w:color w:val="112133"/>
                <w:sz w:val="21"/>
              </w:rPr>
              <w:t>Source files under src/</w:t>
            </w:r>
          </w:p>
        </w:tc>
        <w:tc>
          <w:tcPr>
            <w:tcW w:type="dxa" w:w="6480"/>
          </w:tcPr>
          <w:p>
            <w:pPr>
              <w:spacing w:before="0" w:after="0" w:line="240" w:lineRule="auto"/>
            </w:pPr>
            <w:r>
              <w:rPr>
                <w:rFonts w:ascii="Calibri" w:hAnsi="Calibri"/>
                <w:b w:val="0"/>
                <w:i w:val="0"/>
                <w:color w:val="112133"/>
                <w:sz w:val="21"/>
              </w:rPr>
              <w:t>21</w:t>
            </w:r>
          </w:p>
        </w:tc>
      </w:tr>
      <w:tr>
        <w:tc>
          <w:tcPr>
            <w:tcW w:type="dxa" w:w="2880"/>
          </w:tcPr>
          <w:p>
            <w:pPr>
              <w:spacing w:before="0" w:after="0" w:line="240" w:lineRule="auto"/>
            </w:pPr>
            <w:r>
              <w:rPr>
                <w:rFonts w:ascii="Calibri" w:hAnsi="Calibri"/>
                <w:b w:val="0"/>
                <w:i w:val="0"/>
                <w:color w:val="112133"/>
                <w:sz w:val="21"/>
              </w:rPr>
              <w:t>Offline repository records</w:t>
            </w:r>
          </w:p>
        </w:tc>
        <w:tc>
          <w:tcPr>
            <w:tcW w:type="dxa" w:w="6480"/>
          </w:tcPr>
          <w:p>
            <w:pPr>
              <w:spacing w:before="0" w:after="0" w:line="240" w:lineRule="auto"/>
            </w:pPr>
            <w:r>
              <w:rPr>
                <w:rFonts w:ascii="Calibri" w:hAnsi="Calibri"/>
                <w:b w:val="0"/>
                <w:i w:val="0"/>
                <w:color w:val="112133"/>
                <w:sz w:val="21"/>
              </w:rPr>
              <w:t>206</w:t>
            </w:r>
          </w:p>
        </w:tc>
      </w:tr>
      <w:tr>
        <w:tc>
          <w:tcPr>
            <w:tcW w:type="dxa" w:w="2880"/>
          </w:tcPr>
          <w:p>
            <w:pPr>
              <w:spacing w:before="0" w:after="0" w:line="240" w:lineRule="auto"/>
            </w:pPr>
            <w:r>
              <w:rPr>
                <w:rFonts w:ascii="Calibri" w:hAnsi="Calibri"/>
                <w:b w:val="0"/>
                <w:i w:val="0"/>
                <w:color w:val="112133"/>
                <w:sz w:val="21"/>
              </w:rPr>
              <w:t>Source families</w:t>
            </w:r>
          </w:p>
        </w:tc>
        <w:tc>
          <w:tcPr>
            <w:tcW w:type="dxa" w:w="6480"/>
          </w:tcPr>
          <w:p>
            <w:pPr>
              <w:spacing w:before="0" w:after="0" w:line="240" w:lineRule="auto"/>
            </w:pPr>
            <w:r>
              <w:rPr>
                <w:rFonts w:ascii="Calibri" w:hAnsi="Calibri"/>
                <w:b w:val="0"/>
                <w:i w:val="0"/>
                <w:color w:val="112133"/>
                <w:sz w:val="21"/>
              </w:rPr>
              <w:t>5</w:t>
            </w:r>
          </w:p>
        </w:tc>
      </w:tr>
      <w:tr>
        <w:tc>
          <w:tcPr>
            <w:tcW w:type="dxa" w:w="2880"/>
          </w:tcPr>
          <w:p>
            <w:pPr>
              <w:spacing w:before="0" w:after="0" w:line="240" w:lineRule="auto"/>
            </w:pPr>
            <w:r>
              <w:rPr>
                <w:rFonts w:ascii="Calibri" w:hAnsi="Calibri"/>
                <w:b w:val="0"/>
                <w:i w:val="0"/>
                <w:color w:val="112133"/>
                <w:sz w:val="21"/>
              </w:rPr>
              <w:t>Generated from repo state at</w:t>
            </w:r>
          </w:p>
        </w:tc>
        <w:tc>
          <w:tcPr>
            <w:tcW w:type="dxa" w:w="6480"/>
          </w:tcPr>
          <w:p>
            <w:pPr>
              <w:spacing w:before="0" w:after="0" w:line="240" w:lineRule="auto"/>
            </w:pPr>
            <w:r>
              <w:rPr>
                <w:rFonts w:ascii="Calibri" w:hAnsi="Calibri"/>
                <w:b w:val="0"/>
                <w:i w:val="0"/>
                <w:color w:val="112133"/>
                <w:sz w:val="21"/>
              </w:rPr>
              <w:t>July 08, 2026 20:15 India Standard Time</w:t>
            </w:r>
          </w:p>
        </w:tc>
      </w:tr>
    </w:tbl>
    <w:p/>
    <w:tbl>
      <w:tblPr>
        <w:tblStyle w:val="TableGrid"/>
        <w:tblW w:type="auto" w:w="0"/>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shd w:fill="F3F6FA"/>
          </w:tcPr>
          <w:p>
            <w:pPr>
              <w:spacing w:before="0" w:after="0" w:line="264" w:lineRule="auto"/>
            </w:pPr>
            <w:r>
              <w:rPr>
                <w:rFonts w:ascii="Calibri" w:hAnsi="Calibri"/>
                <w:b/>
                <w:i w:val="0"/>
                <w:color w:val="1F4D78"/>
                <w:sz w:val="21"/>
              </w:rPr>
              <w:t xml:space="preserve">Research conclusion: </w:t>
            </w:r>
            <w:r>
              <w:rPr>
                <w:rFonts w:ascii="Calibri" w:hAnsi="Calibri"/>
                <w:b w:val="0"/>
                <w:i w:val="0"/>
                <w:color w:val="112133"/>
                <w:sz w:val="21"/>
              </w:rPr>
              <w:t>Care Nova AI is not a single monolithic medical LLM. It is a local-first agentic healthcare system composed of a browser UI, a Node.js API server, a deterministic orchestration engine, an offline retrieval layer, persistent local patient stores, and optional open-source or cloud LLM refinement stages.</w:t>
            </w:r>
          </w:p>
        </w:tc>
      </w:tr>
    </w:tbl>
    <w:p/>
    <w:p>
      <w:pPr>
        <w:spacing w:before="320" w:after="160" w:line="264" w:lineRule="auto"/>
      </w:pPr>
      <w:r>
        <w:rPr>
          <w:rFonts w:ascii="Calibri" w:hAnsi="Calibri"/>
          <w:b/>
          <w:i w:val="0"/>
          <w:color w:val="2E74B5"/>
          <w:sz w:val="32"/>
        </w:rPr>
        <w:t>1. What This Model Is</w:t>
      </w:r>
    </w:p>
    <w:p>
      <w:pPr>
        <w:spacing w:before="0" w:after="120" w:line="276" w:lineRule="auto"/>
      </w:pPr>
      <w:r>
        <w:rPr>
          <w:rFonts w:ascii="Calibri" w:hAnsi="Calibri"/>
          <w:b w:val="0"/>
          <w:i w:val="0"/>
          <w:color w:val="112133"/>
          <w:sz w:val="22"/>
        </w:rPr>
        <w:t>At runtime, Care Nova AI behaves as a multi-stage orchestration system rather than as a generic chatbot. The core of the product is the pairing of server.js and src/healthEngine.js. The server owns request handling, health probes, data loading, persistence, and post-processing. The health engine owns normalization, intent routing, risk scoring, knowledge retrieval, agent execution, synthesis, and guardrails.</w:t>
      </w:r>
    </w:p>
    <w:p>
      <w:pPr>
        <w:pStyle w:val="ListBullet"/>
        <w:spacing w:before="0" w:after="80" w:line="276" w:lineRule="auto"/>
      </w:pPr>
      <w:r>
        <w:rPr>
          <w:rFonts w:ascii="Calibri" w:hAnsi="Calibri"/>
          <w:b w:val="0"/>
          <w:i w:val="0"/>
          <w:color w:val="112133"/>
          <w:sz w:val="22"/>
        </w:rPr>
        <w:t>Local-first healthcare workspace: the default path is designed to work with local storage, local knowledge, and local fallbacks before any online dependency is considered.</w:t>
      </w:r>
    </w:p>
    <w:p>
      <w:pPr>
        <w:pStyle w:val="ListBullet"/>
        <w:spacing w:before="0" w:after="80" w:line="276" w:lineRule="auto"/>
      </w:pPr>
      <w:r>
        <w:rPr>
          <w:rFonts w:ascii="Calibri" w:hAnsi="Calibri"/>
          <w:b w:val="0"/>
          <w:i w:val="0"/>
          <w:color w:val="112133"/>
          <w:sz w:val="22"/>
        </w:rPr>
        <w:t>Agentic workflow engine: user requests are classified, routed, executed through one or more specialist agents, and consolidated into a single guarded answer.</w:t>
      </w:r>
    </w:p>
    <w:p>
      <w:pPr>
        <w:pStyle w:val="ListBullet"/>
        <w:spacing w:before="0" w:after="80" w:line="276" w:lineRule="auto"/>
      </w:pPr>
      <w:r>
        <w:rPr>
          <w:rFonts w:ascii="Calibri" w:hAnsi="Calibri"/>
          <w:b w:val="0"/>
          <w:i w:val="0"/>
          <w:color w:val="112133"/>
          <w:sz w:val="22"/>
        </w:rPr>
        <w:t>Retrieval-augmented and memory-aware: the system combines offline medical records, patient memory, saved records, and a patient knowledge graph when reasoning.</w:t>
      </w:r>
    </w:p>
    <w:p>
      <w:pPr>
        <w:pStyle w:val="ListBullet"/>
        <w:spacing w:before="0" w:after="80" w:line="276" w:lineRule="auto"/>
      </w:pPr>
      <w:r>
        <w:rPr>
          <w:rFonts w:ascii="Calibri" w:hAnsi="Calibri"/>
          <w:b w:val="0"/>
          <w:i w:val="0"/>
          <w:color w:val="112133"/>
          <w:sz w:val="22"/>
        </w:rPr>
        <w:t>LLM-optional architecture: deterministic outputs always exist; local open-source and cloud models are treated as optional enhancement layers.</w:t>
      </w:r>
    </w:p>
    <w:p>
      <w:pPr>
        <w:pStyle w:val="ListBullet"/>
        <w:spacing w:before="0" w:after="80" w:line="276" w:lineRule="auto"/>
      </w:pPr>
      <w:r>
        <w:rPr>
          <w:rFonts w:ascii="Calibri" w:hAnsi="Calibri"/>
          <w:b w:val="0"/>
          <w:i w:val="0"/>
          <w:color w:val="112133"/>
          <w:sz w:val="22"/>
        </w:rPr>
        <w:t>Safety-bounded runtime: the answer is explicitly constrained by no-diagnosis, no-prescribing, no-dose-calculation, and no-live-action boundaries.</w:t>
      </w:r>
    </w:p>
    <w:p>
      <w:pPr>
        <w:spacing w:before="320" w:after="160" w:line="264" w:lineRule="auto"/>
      </w:pPr>
      <w:r>
        <w:rPr>
          <w:rFonts w:ascii="Calibri" w:hAnsi="Calibri"/>
          <w:b/>
          <w:i w:val="0"/>
          <w:color w:val="2E74B5"/>
          <w:sz w:val="32"/>
        </w:rPr>
        <w:t>2. The Build Strategy</w:t>
      </w:r>
    </w:p>
    <w:p>
      <w:pPr>
        <w:spacing w:before="0" w:after="120" w:line="276" w:lineRule="auto"/>
      </w:pPr>
      <w:r>
        <w:rPr>
          <w:rFonts w:ascii="Calibri" w:hAnsi="Calibri"/>
          <w:b w:val="0"/>
          <w:i w:val="0"/>
          <w:color w:val="112133"/>
          <w:sz w:val="22"/>
        </w:rPr>
        <w:t>The repository is organized as a layered web application. The model is built by composing focused modules rather than by embedding all logic in a single file. That separation is the main reason the project can support many tabs, many specialist routes, offline operation, GitHub packaging, and multiple runtime modes.</w:t>
      </w:r>
    </w:p>
    <w:tbl>
      <w:tblPr>
        <w:tblStyle w:val="TableGrid"/>
        <w:tblW w:type="auto" w:w="0"/>
        <w:tblLayout w:type="fixed"/>
        <w:tblLook w:firstColumn="1" w:firstRow="1" w:lastColumn="0" w:lastRow="0" w:noHBand="0" w:noVBand="1" w:val="04A0"/>
      </w:tblPr>
      <w:tblGrid>
        <w:gridCol w:w="1944"/>
        <w:gridCol w:w="3240"/>
        <w:gridCol w:w="4176"/>
      </w:tblGrid>
      <w:tr>
        <w:trPr>
          <w:tblHeader w:val="true"/>
        </w:trPr>
        <w:tc>
          <w:tcPr>
            <w:tcW w:type="dxa" w:w="1944"/>
            <w:tcMar>
              <w:top w:w="90" w:type="dxa"/>
              <w:start w:w="120" w:type="dxa"/>
              <w:bottom w:w="90" w:type="dxa"/>
              <w:end w:w="120" w:type="dxa"/>
            </w:tcMar>
            <w:shd w:fill="F3F6FA"/>
          </w:tcPr>
          <w:p>
            <w:pPr>
              <w:spacing w:before="0" w:after="0" w:line="240" w:lineRule="auto"/>
            </w:pPr>
            <w:r>
              <w:rPr>
                <w:rFonts w:ascii="Calibri" w:hAnsi="Calibri"/>
                <w:b/>
                <w:i w:val="0"/>
                <w:color w:val="576779"/>
                <w:sz w:val="20"/>
              </w:rPr>
              <w:t>Layer</w:t>
            </w:r>
          </w:p>
        </w:tc>
        <w:tc>
          <w:tcPr>
            <w:tcW w:type="dxa" w:w="3240"/>
            <w:tcMar>
              <w:top w:w="90" w:type="dxa"/>
              <w:start w:w="120" w:type="dxa"/>
              <w:bottom w:w="90" w:type="dxa"/>
              <w:end w:w="120" w:type="dxa"/>
            </w:tcMar>
            <w:shd w:fill="F3F6FA"/>
          </w:tcPr>
          <w:p>
            <w:pPr>
              <w:spacing w:before="0" w:after="0" w:line="240" w:lineRule="auto"/>
            </w:pPr>
            <w:r>
              <w:rPr>
                <w:rFonts w:ascii="Calibri" w:hAnsi="Calibri"/>
                <w:b/>
                <w:i w:val="0"/>
                <w:color w:val="576779"/>
                <w:sz w:val="20"/>
              </w:rPr>
              <w:t>Main files</w:t>
            </w:r>
          </w:p>
        </w:tc>
        <w:tc>
          <w:tcPr>
            <w:tcW w:type="dxa" w:w="4176"/>
            <w:tcMar>
              <w:top w:w="90" w:type="dxa"/>
              <w:start w:w="120" w:type="dxa"/>
              <w:bottom w:w="90" w:type="dxa"/>
              <w:end w:w="120" w:type="dxa"/>
            </w:tcMar>
            <w:shd w:fill="F3F6FA"/>
          </w:tcPr>
          <w:p>
            <w:pPr>
              <w:spacing w:before="0" w:after="0" w:line="240" w:lineRule="auto"/>
            </w:pPr>
            <w:r>
              <w:rPr>
                <w:rFonts w:ascii="Calibri" w:hAnsi="Calibri"/>
                <w:b/>
                <w:i w:val="0"/>
                <w:color w:val="576779"/>
                <w:sz w:val="20"/>
              </w:rPr>
              <w:t>Responsibility</w:t>
            </w:r>
          </w:p>
        </w:tc>
      </w:tr>
      <w:tr>
        <w:tc>
          <w:tcPr>
            <w:tcW w:type="dxa" w:w="1944"/>
          </w:tcPr>
          <w:p>
            <w:pPr>
              <w:spacing w:before="0" w:after="0" w:line="240" w:lineRule="auto"/>
            </w:pPr>
            <w:r>
              <w:rPr>
                <w:rFonts w:ascii="Calibri" w:hAnsi="Calibri"/>
                <w:b w:val="0"/>
                <w:i w:val="0"/>
                <w:color w:val="112133"/>
                <w:sz w:val="20"/>
              </w:rPr>
              <w:t>Browser shell</w:t>
            </w:r>
          </w:p>
        </w:tc>
        <w:tc>
          <w:tcPr>
            <w:tcW w:type="dxa" w:w="3240"/>
          </w:tcPr>
          <w:p>
            <w:pPr>
              <w:spacing w:before="0" w:after="0" w:line="240" w:lineRule="auto"/>
            </w:pPr>
            <w:r>
              <w:rPr>
                <w:rFonts w:ascii="Calibri" w:hAnsi="Calibri"/>
                <w:b w:val="0"/>
                <w:i w:val="0"/>
                <w:color w:val="112133"/>
                <w:sz w:val="20"/>
              </w:rPr>
              <w:t>public/index.html, public/app.js, public/styles.css, public/sw.js</w:t>
            </w:r>
          </w:p>
        </w:tc>
        <w:tc>
          <w:tcPr>
            <w:tcW w:type="dxa" w:w="4176"/>
          </w:tcPr>
          <w:p>
            <w:pPr>
              <w:spacing w:before="0" w:after="0" w:line="240" w:lineRule="auto"/>
            </w:pPr>
            <w:r>
              <w:rPr>
                <w:rFonts w:ascii="Calibri" w:hAnsi="Calibri"/>
                <w:b w:val="0"/>
                <w:i w:val="0"/>
                <w:color w:val="112133"/>
                <w:sz w:val="20"/>
              </w:rPr>
              <w:t>Renders the workspace, manages tabs and modes, captures inputs, calls APIs, stores lightweight UI state in localStorage, and supports installable PWA behavior.</w:t>
            </w:r>
          </w:p>
        </w:tc>
      </w:tr>
      <w:tr>
        <w:tc>
          <w:tcPr>
            <w:tcW w:type="dxa" w:w="1944"/>
          </w:tcPr>
          <w:p>
            <w:pPr>
              <w:spacing w:before="0" w:after="0" w:line="240" w:lineRule="auto"/>
            </w:pPr>
            <w:r>
              <w:rPr>
                <w:rFonts w:ascii="Calibri" w:hAnsi="Calibri"/>
                <w:b w:val="0"/>
                <w:i w:val="0"/>
                <w:color w:val="112133"/>
                <w:sz w:val="20"/>
              </w:rPr>
              <w:t>HTTP server</w:t>
            </w:r>
          </w:p>
        </w:tc>
        <w:tc>
          <w:tcPr>
            <w:tcW w:type="dxa" w:w="3240"/>
          </w:tcPr>
          <w:p>
            <w:pPr>
              <w:spacing w:before="0" w:after="0" w:line="240" w:lineRule="auto"/>
            </w:pPr>
            <w:r>
              <w:rPr>
                <w:rFonts w:ascii="Calibri" w:hAnsi="Calibri"/>
                <w:b w:val="0"/>
                <w:i w:val="0"/>
                <w:color w:val="112133"/>
                <w:sz w:val="20"/>
              </w:rPr>
              <w:t>server.js</w:t>
            </w:r>
          </w:p>
        </w:tc>
        <w:tc>
          <w:tcPr>
            <w:tcW w:type="dxa" w:w="4176"/>
          </w:tcPr>
          <w:p>
            <w:pPr>
              <w:spacing w:before="0" w:after="0" w:line="240" w:lineRule="auto"/>
            </w:pPr>
            <w:r>
              <w:rPr>
                <w:rFonts w:ascii="Calibri" w:hAnsi="Calibri"/>
                <w:b w:val="0"/>
                <w:i w:val="0"/>
                <w:color w:val="112133"/>
                <w:sz w:val="20"/>
              </w:rPr>
              <w:t>Serves static assets, exposes the API surface, loads memory and records, invokes the core engine, applies optional LLM assists, and persists outputs.</w:t>
            </w:r>
          </w:p>
        </w:tc>
      </w:tr>
      <w:tr>
        <w:tc>
          <w:tcPr>
            <w:tcW w:type="dxa" w:w="1944"/>
          </w:tcPr>
          <w:p>
            <w:pPr>
              <w:spacing w:before="0" w:after="0" w:line="240" w:lineRule="auto"/>
            </w:pPr>
            <w:r>
              <w:rPr>
                <w:rFonts w:ascii="Calibri" w:hAnsi="Calibri"/>
                <w:b w:val="0"/>
                <w:i w:val="0"/>
                <w:color w:val="112133"/>
                <w:sz w:val="20"/>
              </w:rPr>
              <w:t>Core orchestration</w:t>
            </w:r>
          </w:p>
        </w:tc>
        <w:tc>
          <w:tcPr>
            <w:tcW w:type="dxa" w:w="3240"/>
          </w:tcPr>
          <w:p>
            <w:pPr>
              <w:spacing w:before="0" w:after="0" w:line="240" w:lineRule="auto"/>
            </w:pPr>
            <w:r>
              <w:rPr>
                <w:rFonts w:ascii="Calibri" w:hAnsi="Calibri"/>
                <w:b w:val="0"/>
                <w:i w:val="0"/>
                <w:color w:val="112133"/>
                <w:sz w:val="20"/>
              </w:rPr>
              <w:t>src/healthEngine.js, src/agenticRuntime.js</w:t>
            </w:r>
          </w:p>
        </w:tc>
        <w:tc>
          <w:tcPr>
            <w:tcW w:type="dxa" w:w="4176"/>
          </w:tcPr>
          <w:p>
            <w:pPr>
              <w:spacing w:before="0" w:after="0" w:line="240" w:lineRule="auto"/>
            </w:pPr>
            <w:r>
              <w:rPr>
                <w:rFonts w:ascii="Calibri" w:hAnsi="Calibri"/>
                <w:b w:val="0"/>
                <w:i w:val="0"/>
                <w:color w:val="112133"/>
                <w:sz w:val="20"/>
              </w:rPr>
              <w:t>Normalizes requests, classifies intents, scores risk, builds plans, runs agents, synthesizes responses, and explains runtime decisions.</w:t>
            </w:r>
          </w:p>
        </w:tc>
      </w:tr>
      <w:tr>
        <w:tc>
          <w:tcPr>
            <w:tcW w:type="dxa" w:w="1944"/>
          </w:tcPr>
          <w:p>
            <w:pPr>
              <w:spacing w:before="0" w:after="0" w:line="240" w:lineRule="auto"/>
            </w:pPr>
            <w:r>
              <w:rPr>
                <w:rFonts w:ascii="Calibri" w:hAnsi="Calibri"/>
                <w:b w:val="0"/>
                <w:i w:val="0"/>
                <w:color w:val="112133"/>
                <w:sz w:val="20"/>
              </w:rPr>
              <w:t>Knowledge and ranking</w:t>
            </w:r>
          </w:p>
        </w:tc>
        <w:tc>
          <w:tcPr>
            <w:tcW w:type="dxa" w:w="3240"/>
          </w:tcPr>
          <w:p>
            <w:pPr>
              <w:spacing w:before="0" w:after="0" w:line="240" w:lineRule="auto"/>
            </w:pPr>
            <w:r>
              <w:rPr>
                <w:rFonts w:ascii="Calibri" w:hAnsi="Calibri"/>
                <w:b w:val="0"/>
                <w:i w:val="0"/>
                <w:color w:val="112133"/>
                <w:sz w:val="20"/>
              </w:rPr>
              <w:t>src/offlineMedicalDatabase.js, src/localAiEngine.js, scripts/build-offline-repository.js</w:t>
            </w:r>
          </w:p>
        </w:tc>
        <w:tc>
          <w:tcPr>
            <w:tcW w:type="dxa" w:w="4176"/>
          </w:tcPr>
          <w:p>
            <w:pPr>
              <w:spacing w:before="0" w:after="0" w:line="240" w:lineRule="auto"/>
            </w:pPr>
            <w:r>
              <w:rPr>
                <w:rFonts w:ascii="Calibri" w:hAnsi="Calibri"/>
                <w:b w:val="0"/>
                <w:i w:val="0"/>
                <w:color w:val="112133"/>
                <w:sz w:val="20"/>
              </w:rPr>
              <w:t>Loads the offline repository and ranks evidence using lexical, entity, semantic-family, route, and safety-aware scoring.</w:t>
            </w:r>
          </w:p>
        </w:tc>
      </w:tr>
      <w:tr>
        <w:tc>
          <w:tcPr>
            <w:tcW w:type="dxa" w:w="1944"/>
          </w:tcPr>
          <w:p>
            <w:pPr>
              <w:spacing w:before="0" w:after="0" w:line="240" w:lineRule="auto"/>
            </w:pPr>
            <w:r>
              <w:rPr>
                <w:rFonts w:ascii="Calibri" w:hAnsi="Calibri"/>
                <w:b w:val="0"/>
                <w:i w:val="0"/>
                <w:color w:val="112133"/>
                <w:sz w:val="20"/>
              </w:rPr>
              <w:t>Model routing and optional LLMs</w:t>
            </w:r>
          </w:p>
        </w:tc>
        <w:tc>
          <w:tcPr>
            <w:tcW w:type="dxa" w:w="3240"/>
          </w:tcPr>
          <w:p>
            <w:pPr>
              <w:spacing w:before="0" w:after="0" w:line="240" w:lineRule="auto"/>
            </w:pPr>
            <w:r>
              <w:rPr>
                <w:rFonts w:ascii="Calibri" w:hAnsi="Calibri"/>
                <w:b w:val="0"/>
                <w:i w:val="0"/>
                <w:color w:val="112133"/>
                <w:sz w:val="20"/>
              </w:rPr>
              <w:t>src/hybridModelRouter.js, src/openSourceLocalRuntime.js, src/localReasoningGateway.js, src/specialistLlmGateway.js, src/cloudLlmGateway.js</w:t>
            </w:r>
          </w:p>
        </w:tc>
        <w:tc>
          <w:tcPr>
            <w:tcW w:type="dxa" w:w="4176"/>
          </w:tcPr>
          <w:p>
            <w:pPr>
              <w:spacing w:before="0" w:after="0" w:line="240" w:lineRule="auto"/>
            </w:pPr>
            <w:r>
              <w:rPr>
                <w:rFonts w:ascii="Calibri" w:hAnsi="Calibri"/>
                <w:b w:val="0"/>
                <w:i w:val="0"/>
                <w:color w:val="112133"/>
                <w:sz w:val="20"/>
              </w:rPr>
              <w:t>Chooses local vs cloud processing, probes Ollama/LM Studio style runtimes, and performs route-aware refinement when configured.</w:t>
            </w:r>
          </w:p>
        </w:tc>
      </w:tr>
      <w:tr>
        <w:tc>
          <w:tcPr>
            <w:tcW w:type="dxa" w:w="1944"/>
          </w:tcPr>
          <w:p>
            <w:pPr>
              <w:spacing w:before="0" w:after="0" w:line="240" w:lineRule="auto"/>
            </w:pPr>
            <w:r>
              <w:rPr>
                <w:rFonts w:ascii="Calibri" w:hAnsi="Calibri"/>
                <w:b w:val="0"/>
                <w:i w:val="0"/>
                <w:color w:val="112133"/>
                <w:sz w:val="20"/>
              </w:rPr>
              <w:t>Persistent data and mirrors</w:t>
            </w:r>
          </w:p>
        </w:tc>
        <w:tc>
          <w:tcPr>
            <w:tcW w:type="dxa" w:w="3240"/>
          </w:tcPr>
          <w:p>
            <w:pPr>
              <w:spacing w:before="0" w:after="0" w:line="240" w:lineRule="auto"/>
            </w:pPr>
            <w:r>
              <w:rPr>
                <w:rFonts w:ascii="Calibri" w:hAnsi="Calibri"/>
                <w:b w:val="0"/>
                <w:i w:val="0"/>
                <w:color w:val="112133"/>
                <w:sz w:val="20"/>
              </w:rPr>
              <w:t>src/memoryStore.js, src/recordStore.js, src/knowledgeGraphStore.js, src/localDataMirror.js, src/trainingEngine.js</w:t>
            </w:r>
          </w:p>
        </w:tc>
        <w:tc>
          <w:tcPr>
            <w:tcW w:type="dxa" w:w="4176"/>
          </w:tcPr>
          <w:p>
            <w:pPr>
              <w:spacing w:before="0" w:after="0" w:line="240" w:lineRule="auto"/>
            </w:pPr>
            <w:r>
              <w:rPr>
                <w:rFonts w:ascii="Calibri" w:hAnsi="Calibri"/>
                <w:b w:val="0"/>
                <w:i w:val="0"/>
                <w:color w:val="112133"/>
                <w:sz w:val="20"/>
              </w:rPr>
              <w:t>Stores patient memory, records, graph facts, data mirrors, and training/calibration state on the local machine.</w:t>
            </w:r>
          </w:p>
        </w:tc>
      </w:tr>
    </w:tbl>
    <w:p/>
    <w:p>
      <w:pPr>
        <w:spacing w:before="320" w:after="160" w:line="264" w:lineRule="auto"/>
      </w:pPr>
      <w:r>
        <w:rPr>
          <w:rFonts w:ascii="Calibri" w:hAnsi="Calibri"/>
          <w:b/>
          <w:i w:val="0"/>
          <w:color w:val="2E74B5"/>
          <w:sz w:val="32"/>
        </w:rPr>
        <w:t>3. End-to-End Runtime Flow</w:t>
      </w:r>
    </w:p>
    <w:p>
      <w:pPr>
        <w:spacing w:before="0" w:after="120" w:line="276" w:lineRule="auto"/>
      </w:pPr>
      <w:r>
        <w:rPr>
          <w:rFonts w:ascii="Calibri" w:hAnsi="Calibri"/>
          <w:b w:val="0"/>
          <w:i w:val="0"/>
          <w:color w:val="112133"/>
          <w:sz w:val="22"/>
        </w:rPr>
        <w:t>The main request path is implemented across POST /api/analyze in server.js and analyzeHealthQuery() in src/healthEngine.js. The sequence below reflects the current implementation, including the optional local and cloud post-processors.</w:t>
      </w:r>
    </w:p>
    <w:tbl>
      <w:tblPr>
        <w:tblStyle w:val="TableGrid"/>
        <w:tblW w:type="auto" w:w="0"/>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shd w:fill="F8FAFC"/>
          </w:tcPr>
          <w:p>
            <w:pPr>
              <w:spacing w:before="0" w:after="0" w:line="240" w:lineRule="auto"/>
            </w:pPr>
            <w:r>
              <w:rPr>
                <w:rFonts w:ascii="Courier New" w:hAnsi="Courier New"/>
                <w:b w:val="0"/>
                <w:i w:val="0"/>
                <w:color w:val="112133"/>
                <w:sz w:val="19"/>
              </w:rPr>
              <w:t>Browser UI (public/app.js)</w:t>
              <w:br/>
            </w:r>
            <w:r>
              <w:rPr>
                <w:rFonts w:ascii="Courier New" w:hAnsi="Courier New"/>
                <w:b w:val="0"/>
                <w:i w:val="0"/>
                <w:color w:val="112133"/>
                <w:sz w:val="19"/>
              </w:rPr>
              <w:t xml:space="preserve">  -&gt; POST /api/analyze or POST /api/realtime</w:t>
              <w:br/>
            </w:r>
            <w:r>
              <w:rPr>
                <w:rFonts w:ascii="Courier New" w:hAnsi="Courier New"/>
                <w:b w:val="0"/>
                <w:i w:val="0"/>
                <w:color w:val="112133"/>
                <w:sz w:val="19"/>
              </w:rPr>
              <w:t xml:space="preserve">  -&gt; server.js loads memory, records, external cache, training calibration</w:t>
              <w:br/>
            </w:r>
            <w:r>
              <w:rPr>
                <w:rFonts w:ascii="Courier New" w:hAnsi="Courier New"/>
                <w:b w:val="0"/>
                <w:i w:val="0"/>
                <w:color w:val="112133"/>
                <w:sz w:val="19"/>
              </w:rPr>
              <w:t xml:space="preserve">  -&gt; analyzeHealthQuery() normalizes input and builds requirement profile</w:t>
              <w:br/>
            </w:r>
            <w:r>
              <w:rPr>
                <w:rFonts w:ascii="Courier New" w:hAnsi="Courier New"/>
                <w:b w:val="0"/>
                <w:i w:val="0"/>
                <w:color w:val="112133"/>
                <w:sz w:val="19"/>
              </w:rPr>
              <w:t xml:space="preserve">  -&gt; classifyIntents() + calculateRisk()</w:t>
              <w:br/>
            </w:r>
            <w:r>
              <w:rPr>
                <w:rFonts w:ascii="Courier New" w:hAnsi="Courier New"/>
                <w:b w:val="0"/>
                <w:i w:val="0"/>
                <w:color w:val="112133"/>
                <w:sz w:val="19"/>
              </w:rPr>
              <w:t xml:space="preserve">  -&gt; retrieveMedicalKnowledge() using offline repository and optional cached external knowledge</w:t>
              <w:br/>
            </w:r>
            <w:r>
              <w:rPr>
                <w:rFonts w:ascii="Courier New" w:hAnsi="Courier New"/>
                <w:b w:val="0"/>
                <w:i w:val="0"/>
                <w:color w:val="112133"/>
                <w:sz w:val="19"/>
              </w:rPr>
              <w:t xml:space="preserve">  -&gt; buildExecutionPlan() + applySingleAgentScope() + precision supervision</w:t>
              <w:br/>
            </w:r>
            <w:r>
              <w:rPr>
                <w:rFonts w:ascii="Courier New" w:hAnsi="Courier New"/>
                <w:b w:val="0"/>
                <w:i w:val="0"/>
                <w:color w:val="112133"/>
                <w:sz w:val="19"/>
              </w:rPr>
              <w:t xml:space="preserve">  -&gt; selectHybridModelRoute() + buildLlmCognitiveCore()</w:t>
              <w:br/>
            </w:r>
            <w:r>
              <w:rPr>
                <w:rFonts w:ascii="Courier New" w:hAnsi="Courier New"/>
                <w:b w:val="0"/>
                <w:i w:val="0"/>
                <w:color w:val="112133"/>
                <w:sz w:val="19"/>
              </w:rPr>
              <w:t xml:space="preserve">  -&gt; runAgentPlan() executes route-specific deterministic specialists</w:t>
              <w:br/>
            </w:r>
            <w:r>
              <w:rPr>
                <w:rFonts w:ascii="Courier New" w:hAnsi="Courier New"/>
                <w:b w:val="0"/>
                <w:i w:val="0"/>
                <w:color w:val="112133"/>
                <w:sz w:val="19"/>
              </w:rPr>
              <w:t xml:space="preserve">  -&gt; tryEnhanceSpecialistAgentResultsWithLlm() optionally refines specialist outputs</w:t>
              <w:br/>
            </w:r>
            <w:r>
              <w:rPr>
                <w:rFonts w:ascii="Courier New" w:hAnsi="Courier New"/>
                <w:b w:val="0"/>
                <w:i w:val="0"/>
                <w:color w:val="112133"/>
                <w:sz w:val="19"/>
              </w:rPr>
              <w:t xml:space="preserve">  -&gt; synthesizeResponse() creates the patient-facing answer</w:t>
              <w:br/>
            </w:r>
            <w:r>
              <w:rPr>
                <w:rFonts w:ascii="Courier New" w:hAnsi="Courier New"/>
                <w:b w:val="0"/>
                <w:i w:val="0"/>
                <w:color w:val="112133"/>
                <w:sz w:val="19"/>
              </w:rPr>
              <w:t xml:space="preserve">  -&gt; applyGuardrails() checks no-diagnosis / no-prescribing / no-dosage wording</w:t>
              <w:br/>
            </w:r>
            <w:r>
              <w:rPr>
                <w:rFonts w:ascii="Courier New" w:hAnsi="Courier New"/>
                <w:b w:val="0"/>
                <w:i w:val="0"/>
                <w:color w:val="112133"/>
                <w:sz w:val="19"/>
              </w:rPr>
              <w:t xml:space="preserve">  -&gt; server.js optionally applies local reasoning assist and cloud second pass</w:t>
              <w:br/>
            </w:r>
            <w:r>
              <w:rPr>
                <w:rFonts w:ascii="Courier New" w:hAnsi="Courier New"/>
                <w:b w:val="0"/>
                <w:i w:val="0"/>
                <w:color w:val="112133"/>
                <w:sz w:val="19"/>
              </w:rPr>
              <w:t xml:space="preserve">  -&gt; appendPatientMemory() + upsertPatientKnowledgeGraph() + syncLocalDataMirror()</w:t>
              <w:br/>
            </w:r>
            <w:r>
              <w:rPr>
                <w:rFonts w:ascii="Courier New" w:hAnsi="Courier New"/>
                <w:b w:val="0"/>
                <w:i w:val="0"/>
                <w:color w:val="112133"/>
                <w:sz w:val="19"/>
              </w:rPr>
              <w:t xml:space="preserve">  -&gt; JSON result returned to UI and rendered in the active tab</w:t>
            </w:r>
          </w:p>
        </w:tc>
      </w:tr>
    </w:tbl>
    <w:p/>
    <w:p>
      <w:pPr>
        <w:pStyle w:val="ListNumber"/>
        <w:spacing w:before="0" w:after="80" w:line="276" w:lineRule="auto"/>
      </w:pPr>
      <w:r>
        <w:rPr>
          <w:rFonts w:ascii="Calibri" w:hAnsi="Calibri"/>
          <w:b w:val="0"/>
          <w:i w:val="0"/>
          <w:color w:val="112133"/>
          <w:sz w:val="22"/>
        </w:rPr>
        <w:t>The UI captures a free-text health request plus optional structured profile, vitals, and context values.</w:t>
      </w:r>
    </w:p>
    <w:p>
      <w:pPr>
        <w:pStyle w:val="ListNumber"/>
        <w:spacing w:before="0" w:after="80" w:line="276" w:lineRule="auto"/>
      </w:pPr>
      <w:r>
        <w:rPr>
          <w:rFonts w:ascii="Calibri" w:hAnsi="Calibri"/>
          <w:b w:val="0"/>
          <w:i w:val="0"/>
          <w:color w:val="112133"/>
          <w:sz w:val="22"/>
        </w:rPr>
        <w:t>The server merges the request with saved patient profile data, prior memory, stored records, and training calibration before analysis begins.</w:t>
      </w:r>
    </w:p>
    <w:p>
      <w:pPr>
        <w:pStyle w:val="ListNumber"/>
        <w:spacing w:before="0" w:after="80" w:line="276" w:lineRule="auto"/>
      </w:pPr>
      <w:r>
        <w:rPr>
          <w:rFonts w:ascii="Calibri" w:hAnsi="Calibri"/>
          <w:b w:val="0"/>
          <w:i w:val="0"/>
          <w:color w:val="112133"/>
          <w:sz w:val="22"/>
        </w:rPr>
        <w:t>The engine extracts additional vitals from the message itself, normalizes the profile and context, and builds input-quality and requirement-fit summaries.</w:t>
      </w:r>
    </w:p>
    <w:p>
      <w:pPr>
        <w:pStyle w:val="ListNumber"/>
        <w:spacing w:before="0" w:after="80" w:line="276" w:lineRule="auto"/>
      </w:pPr>
      <w:r>
        <w:rPr>
          <w:rFonts w:ascii="Calibri" w:hAnsi="Calibri"/>
          <w:b w:val="0"/>
          <w:i w:val="0"/>
          <w:color w:val="112133"/>
          <w:sz w:val="22"/>
        </w:rPr>
        <w:t>Intent classification determines which routes are relevant. Risk scoring then evaluates urgency using message content, vitals, context, and prior history.</w:t>
      </w:r>
    </w:p>
    <w:p>
      <w:pPr>
        <w:pStyle w:val="ListNumber"/>
        <w:spacing w:before="0" w:after="80" w:line="276" w:lineRule="auto"/>
      </w:pPr>
      <w:r>
        <w:rPr>
          <w:rFonts w:ascii="Calibri" w:hAnsi="Calibri"/>
          <w:b w:val="0"/>
          <w:i w:val="0"/>
          <w:color w:val="112133"/>
          <w:sz w:val="22"/>
        </w:rPr>
        <w:t>The retrieval layer builds a route-aware knowledge query and ranks local medical references from the offline repository.</w:t>
      </w:r>
    </w:p>
    <w:p>
      <w:pPr>
        <w:pStyle w:val="ListNumber"/>
        <w:spacing w:before="0" w:after="80" w:line="276" w:lineRule="auto"/>
      </w:pPr>
      <w:r>
        <w:rPr>
          <w:rFonts w:ascii="Calibri" w:hAnsi="Calibri"/>
          <w:b w:val="0"/>
          <w:i w:val="0"/>
          <w:color w:val="112133"/>
          <w:sz w:val="22"/>
        </w:rPr>
        <w:t>The planner decides whether this is a single-agent or multi-agent response and which route should own the answer.</w:t>
      </w:r>
    </w:p>
    <w:p>
      <w:pPr>
        <w:pStyle w:val="ListNumber"/>
        <w:spacing w:before="0" w:after="80" w:line="276" w:lineRule="auto"/>
      </w:pPr>
      <w:r>
        <w:rPr>
          <w:rFonts w:ascii="Calibri" w:hAnsi="Calibri"/>
          <w:b w:val="0"/>
          <w:i w:val="0"/>
          <w:color w:val="112133"/>
          <w:sz w:val="22"/>
        </w:rPr>
        <w:t>Deterministic specialist runners execute route-specific logic for general guidance, specialist review, vitals, medicines, labs, scheduling, safety, records, insurance, and operations paths.</w:t>
      </w:r>
    </w:p>
    <w:p>
      <w:pPr>
        <w:pStyle w:val="ListNumber"/>
        <w:spacing w:before="0" w:after="80" w:line="276" w:lineRule="auto"/>
      </w:pPr>
      <w:r>
        <w:rPr>
          <w:rFonts w:ascii="Calibri" w:hAnsi="Calibri"/>
          <w:b w:val="0"/>
          <w:i w:val="0"/>
          <w:color w:val="112133"/>
          <w:sz w:val="22"/>
        </w:rPr>
        <w:t>If configured, specialist LLM refinement runs on top of those deterministic outputs. This is a second pass, not the primary decision engine.</w:t>
      </w:r>
    </w:p>
    <w:p>
      <w:pPr>
        <w:pStyle w:val="ListNumber"/>
        <w:spacing w:before="0" w:after="80" w:line="276" w:lineRule="auto"/>
      </w:pPr>
      <w:r>
        <w:rPr>
          <w:rFonts w:ascii="Calibri" w:hAnsi="Calibri"/>
          <w:b w:val="0"/>
          <w:i w:val="0"/>
          <w:color w:val="112133"/>
          <w:sz w:val="22"/>
        </w:rPr>
        <w:t>The synthesizer creates one focused, patient-friendly response with actions, warning signs, support sections, and a disclaimer.</w:t>
      </w:r>
    </w:p>
    <w:p>
      <w:pPr>
        <w:pStyle w:val="ListNumber"/>
        <w:spacing w:before="0" w:after="80" w:line="276" w:lineRule="auto"/>
      </w:pPr>
      <w:r>
        <w:rPr>
          <w:rFonts w:ascii="Calibri" w:hAnsi="Calibri"/>
          <w:b w:val="0"/>
          <w:i w:val="0"/>
          <w:color w:val="112133"/>
          <w:sz w:val="22"/>
        </w:rPr>
        <w:t>Guardrails scan the final wording for blocked patterns such as diagnosis claims, prescribing language, or dosage instructions.</w:t>
      </w:r>
    </w:p>
    <w:p>
      <w:pPr>
        <w:pStyle w:val="ListNumber"/>
        <w:spacing w:before="0" w:after="80" w:line="276" w:lineRule="auto"/>
      </w:pPr>
      <w:r>
        <w:rPr>
          <w:rFonts w:ascii="Calibri" w:hAnsi="Calibri"/>
          <w:b w:val="0"/>
          <w:i w:val="0"/>
          <w:color w:val="112133"/>
          <w:sz w:val="22"/>
        </w:rPr>
        <w:t>After the answer is ready, the server can add local reasoning assist, cloud rewrite assist, evidence packets, doctor-ready notes, prevention plans, safety triage, and human review packets.</w:t>
      </w:r>
    </w:p>
    <w:p>
      <w:pPr>
        <w:pStyle w:val="ListNumber"/>
        <w:spacing w:before="0" w:after="80" w:line="276" w:lineRule="auto"/>
      </w:pPr>
      <w:r>
        <w:rPr>
          <w:rFonts w:ascii="Calibri" w:hAnsi="Calibri"/>
          <w:b w:val="0"/>
          <w:i w:val="0"/>
          <w:color w:val="112133"/>
          <w:sz w:val="22"/>
        </w:rPr>
        <w:t>The run is persisted locally into memory, records, graph facts, and mirror files so the next request starts with richer context.</w:t>
      </w:r>
    </w:p>
    <w:p>
      <w:pPr>
        <w:spacing w:before="320" w:after="160" w:line="264" w:lineRule="auto"/>
      </w:pPr>
      <w:r>
        <w:rPr>
          <w:rFonts w:ascii="Calibri" w:hAnsi="Calibri"/>
          <w:b/>
          <w:i w:val="0"/>
          <w:color w:val="2E74B5"/>
          <w:sz w:val="32"/>
        </w:rPr>
        <w:t>4. Agent Inventory</w:t>
      </w:r>
    </w:p>
    <w:p>
      <w:pPr>
        <w:spacing w:before="0" w:after="120" w:line="276" w:lineRule="auto"/>
      </w:pPr>
      <w:r>
        <w:rPr>
          <w:rFonts w:ascii="Calibri" w:hAnsi="Calibri"/>
          <w:b w:val="0"/>
          <w:i w:val="0"/>
          <w:color w:val="112133"/>
          <w:sz w:val="22"/>
        </w:rPr>
        <w:t>The execution engine maps routes to explicit runner functions. The patient-facing tabs are only one surface; underneath them, the engine owns a broader route catalog.</w:t>
      </w:r>
    </w:p>
    <w:tbl>
      <w:tblPr>
        <w:tblStyle w:val="TableGrid"/>
        <w:tblW w:type="auto" w:w="0"/>
        <w:tblLayout w:type="fixed"/>
        <w:tblLook w:firstColumn="1" w:firstRow="1" w:lastColumn="0" w:lastRow="0" w:noHBand="0" w:noVBand="1" w:val="04A0"/>
      </w:tblPr>
      <w:tblGrid>
        <w:gridCol w:w="2232"/>
        <w:gridCol w:w="2232"/>
        <w:gridCol w:w="4896"/>
      </w:tblGrid>
      <w:tr>
        <w:trPr>
          <w:tblHeader w:val="true"/>
        </w:trPr>
        <w:tc>
          <w:tcPr>
            <w:tcW w:type="dxa" w:w="2232"/>
            <w:tcMar>
              <w:top w:w="90" w:type="dxa"/>
              <w:start w:w="120" w:type="dxa"/>
              <w:bottom w:w="90" w:type="dxa"/>
              <w:end w:w="120" w:type="dxa"/>
            </w:tcMar>
            <w:shd w:fill="F3F6FA"/>
          </w:tcPr>
          <w:p>
            <w:pPr>
              <w:spacing w:before="0" w:after="0" w:line="240" w:lineRule="auto"/>
            </w:pPr>
            <w:r>
              <w:rPr>
                <w:rFonts w:ascii="Calibri" w:hAnsi="Calibri"/>
                <w:b/>
                <w:i w:val="0"/>
                <w:color w:val="576779"/>
                <w:sz w:val="20"/>
              </w:rPr>
              <w:t>Route</w:t>
            </w:r>
          </w:p>
        </w:tc>
        <w:tc>
          <w:tcPr>
            <w:tcW w:type="dxa" w:w="2232"/>
            <w:tcMar>
              <w:top w:w="90" w:type="dxa"/>
              <w:start w:w="120" w:type="dxa"/>
              <w:bottom w:w="90" w:type="dxa"/>
              <w:end w:w="120" w:type="dxa"/>
            </w:tcMar>
            <w:shd w:fill="F3F6FA"/>
          </w:tcPr>
          <w:p>
            <w:pPr>
              <w:spacing w:before="0" w:after="0" w:line="240" w:lineRule="auto"/>
            </w:pPr>
            <w:r>
              <w:rPr>
                <w:rFonts w:ascii="Calibri" w:hAnsi="Calibri"/>
                <w:b/>
                <w:i w:val="0"/>
                <w:color w:val="576779"/>
                <w:sz w:val="20"/>
              </w:rPr>
              <w:t>Typical UI surface</w:t>
            </w:r>
          </w:p>
        </w:tc>
        <w:tc>
          <w:tcPr>
            <w:tcW w:type="dxa" w:w="4896"/>
            <w:tcMar>
              <w:top w:w="90" w:type="dxa"/>
              <w:start w:w="120" w:type="dxa"/>
              <w:bottom w:w="90" w:type="dxa"/>
              <w:end w:w="120" w:type="dxa"/>
            </w:tcMar>
            <w:shd w:fill="F3F6FA"/>
          </w:tcPr>
          <w:p>
            <w:pPr>
              <w:spacing w:before="0" w:after="0" w:line="240" w:lineRule="auto"/>
            </w:pPr>
            <w:r>
              <w:rPr>
                <w:rFonts w:ascii="Calibri" w:hAnsi="Calibri"/>
                <w:b/>
                <w:i w:val="0"/>
                <w:color w:val="576779"/>
                <w:sz w:val="20"/>
              </w:rPr>
              <w:t>Purpose</w:t>
            </w:r>
          </w:p>
        </w:tc>
      </w:tr>
      <w:tr>
        <w:tc>
          <w:tcPr>
            <w:tcW w:type="dxa" w:w="2232"/>
          </w:tcPr>
          <w:p>
            <w:pPr>
              <w:spacing w:before="0" w:after="0" w:line="240" w:lineRule="auto"/>
            </w:pPr>
            <w:r>
              <w:rPr>
                <w:rFonts w:ascii="Calibri" w:hAnsi="Calibri"/>
                <w:b w:val="0"/>
                <w:i w:val="0"/>
                <w:color w:val="112133"/>
                <w:sz w:val="20"/>
              </w:rPr>
              <w:t>RAG_AGENT</w:t>
            </w:r>
          </w:p>
        </w:tc>
        <w:tc>
          <w:tcPr>
            <w:tcW w:type="dxa" w:w="2232"/>
          </w:tcPr>
          <w:p>
            <w:pPr>
              <w:spacing w:before="0" w:after="0" w:line="240" w:lineRule="auto"/>
            </w:pPr>
            <w:r>
              <w:rPr>
                <w:rFonts w:ascii="Calibri" w:hAnsi="Calibri"/>
                <w:b w:val="0"/>
                <w:i w:val="0"/>
                <w:color w:val="112133"/>
                <w:sz w:val="20"/>
              </w:rPr>
              <w:t>General</w:t>
            </w:r>
          </w:p>
        </w:tc>
        <w:tc>
          <w:tcPr>
            <w:tcW w:type="dxa" w:w="4896"/>
          </w:tcPr>
          <w:p>
            <w:pPr>
              <w:spacing w:before="0" w:after="0" w:line="240" w:lineRule="auto"/>
            </w:pPr>
            <w:r>
              <w:rPr>
                <w:rFonts w:ascii="Calibri" w:hAnsi="Calibri"/>
                <w:b w:val="0"/>
                <w:i w:val="0"/>
                <w:color w:val="112133"/>
                <w:sz w:val="20"/>
              </w:rPr>
              <w:t>First-layer general health guidance, context gathering, warning-sign review, and next-step framing.</w:t>
            </w:r>
          </w:p>
        </w:tc>
      </w:tr>
      <w:tr>
        <w:tc>
          <w:tcPr>
            <w:tcW w:type="dxa" w:w="2232"/>
          </w:tcPr>
          <w:p>
            <w:pPr>
              <w:spacing w:before="0" w:after="0" w:line="240" w:lineRule="auto"/>
            </w:pPr>
            <w:r>
              <w:rPr>
                <w:rFonts w:ascii="Calibri" w:hAnsi="Calibri"/>
                <w:b w:val="0"/>
                <w:i w:val="0"/>
                <w:color w:val="112133"/>
                <w:sz w:val="20"/>
              </w:rPr>
              <w:t>SPECIALIST_DOCTOR_AGENT</w:t>
            </w:r>
          </w:p>
        </w:tc>
        <w:tc>
          <w:tcPr>
            <w:tcW w:type="dxa" w:w="2232"/>
          </w:tcPr>
          <w:p>
            <w:pPr>
              <w:spacing w:before="0" w:after="0" w:line="240" w:lineRule="auto"/>
            </w:pPr>
            <w:r>
              <w:rPr>
                <w:rFonts w:ascii="Calibri" w:hAnsi="Calibri"/>
                <w:b w:val="0"/>
                <w:i w:val="0"/>
                <w:color w:val="112133"/>
                <w:sz w:val="20"/>
              </w:rPr>
              <w:t>Specialist</w:t>
            </w:r>
          </w:p>
        </w:tc>
        <w:tc>
          <w:tcPr>
            <w:tcW w:type="dxa" w:w="4896"/>
          </w:tcPr>
          <w:p>
            <w:pPr>
              <w:spacing w:before="0" w:after="0" w:line="240" w:lineRule="auto"/>
            </w:pPr>
            <w:r>
              <w:rPr>
                <w:rFonts w:ascii="Calibri" w:hAnsi="Calibri"/>
                <w:b w:val="0"/>
                <w:i w:val="0"/>
                <w:color w:val="112133"/>
                <w:sz w:val="20"/>
              </w:rPr>
              <w:t>Disease-focused structured review with domain-specific expectations, precautions, and follow-up questions.</w:t>
            </w:r>
          </w:p>
        </w:tc>
      </w:tr>
      <w:tr>
        <w:tc>
          <w:tcPr>
            <w:tcW w:type="dxa" w:w="2232"/>
          </w:tcPr>
          <w:p>
            <w:pPr>
              <w:spacing w:before="0" w:after="0" w:line="240" w:lineRule="auto"/>
            </w:pPr>
            <w:r>
              <w:rPr>
                <w:rFonts w:ascii="Calibri" w:hAnsi="Calibri"/>
                <w:b w:val="0"/>
                <w:i w:val="0"/>
                <w:color w:val="112133"/>
                <w:sz w:val="20"/>
              </w:rPr>
              <w:t>VITALS_AGENT</w:t>
            </w:r>
          </w:p>
        </w:tc>
        <w:tc>
          <w:tcPr>
            <w:tcW w:type="dxa" w:w="2232"/>
          </w:tcPr>
          <w:p>
            <w:pPr>
              <w:spacing w:before="0" w:after="0" w:line="240" w:lineRule="auto"/>
            </w:pPr>
            <w:r>
              <w:rPr>
                <w:rFonts w:ascii="Calibri" w:hAnsi="Calibri"/>
                <w:b w:val="0"/>
                <w:i w:val="0"/>
                <w:color w:val="112133"/>
                <w:sz w:val="20"/>
              </w:rPr>
              <w:t>Vitals</w:t>
            </w:r>
          </w:p>
        </w:tc>
        <w:tc>
          <w:tcPr>
            <w:tcW w:type="dxa" w:w="4896"/>
          </w:tcPr>
          <w:p>
            <w:pPr>
              <w:spacing w:before="0" w:after="0" w:line="240" w:lineRule="auto"/>
            </w:pPr>
            <w:r>
              <w:rPr>
                <w:rFonts w:ascii="Calibri" w:hAnsi="Calibri"/>
                <w:b w:val="0"/>
                <w:i w:val="0"/>
                <w:color w:val="112133"/>
                <w:sz w:val="20"/>
              </w:rPr>
              <w:t>Interprets BP, glucose, pulse, temperature, BMI, and home-monitoring context.</w:t>
            </w:r>
          </w:p>
        </w:tc>
      </w:tr>
      <w:tr>
        <w:tc>
          <w:tcPr>
            <w:tcW w:type="dxa" w:w="2232"/>
          </w:tcPr>
          <w:p>
            <w:pPr>
              <w:spacing w:before="0" w:after="0" w:line="240" w:lineRule="auto"/>
            </w:pPr>
            <w:r>
              <w:rPr>
                <w:rFonts w:ascii="Calibri" w:hAnsi="Calibri"/>
                <w:b w:val="0"/>
                <w:i w:val="0"/>
                <w:color w:val="112133"/>
                <w:sz w:val="20"/>
              </w:rPr>
              <w:t>PHARMACY_AGENT</w:t>
            </w:r>
          </w:p>
        </w:tc>
        <w:tc>
          <w:tcPr>
            <w:tcW w:type="dxa" w:w="2232"/>
          </w:tcPr>
          <w:p>
            <w:pPr>
              <w:spacing w:before="0" w:after="0" w:line="240" w:lineRule="auto"/>
            </w:pPr>
            <w:r>
              <w:rPr>
                <w:rFonts w:ascii="Calibri" w:hAnsi="Calibri"/>
                <w:b w:val="0"/>
                <w:i w:val="0"/>
                <w:color w:val="112133"/>
                <w:sz w:val="20"/>
              </w:rPr>
              <w:t>Medicine</w:t>
            </w:r>
          </w:p>
        </w:tc>
        <w:tc>
          <w:tcPr>
            <w:tcW w:type="dxa" w:w="4896"/>
          </w:tcPr>
          <w:p>
            <w:pPr>
              <w:spacing w:before="0" w:after="0" w:line="240" w:lineRule="auto"/>
            </w:pPr>
            <w:r>
              <w:rPr>
                <w:rFonts w:ascii="Calibri" w:hAnsi="Calibri"/>
                <w:b w:val="0"/>
                <w:i w:val="0"/>
                <w:color w:val="112133"/>
                <w:sz w:val="20"/>
              </w:rPr>
              <w:t>Medication label review, missed-dose safety, interaction questions, side-effect triage, and storage guidance.</w:t>
            </w:r>
          </w:p>
        </w:tc>
      </w:tr>
      <w:tr>
        <w:tc>
          <w:tcPr>
            <w:tcW w:type="dxa" w:w="2232"/>
          </w:tcPr>
          <w:p>
            <w:pPr>
              <w:spacing w:before="0" w:after="0" w:line="240" w:lineRule="auto"/>
            </w:pPr>
            <w:r>
              <w:rPr>
                <w:rFonts w:ascii="Calibri" w:hAnsi="Calibri"/>
                <w:b w:val="0"/>
                <w:i w:val="0"/>
                <w:color w:val="112133"/>
                <w:sz w:val="20"/>
              </w:rPr>
              <w:t>LABS_AGENT</w:t>
            </w:r>
          </w:p>
        </w:tc>
        <w:tc>
          <w:tcPr>
            <w:tcW w:type="dxa" w:w="2232"/>
          </w:tcPr>
          <w:p>
            <w:pPr>
              <w:spacing w:before="0" w:after="0" w:line="240" w:lineRule="auto"/>
            </w:pPr>
            <w:r>
              <w:rPr>
                <w:rFonts w:ascii="Calibri" w:hAnsi="Calibri"/>
                <w:b w:val="0"/>
                <w:i w:val="0"/>
                <w:color w:val="112133"/>
                <w:sz w:val="20"/>
              </w:rPr>
              <w:t>Labs</w:t>
            </w:r>
          </w:p>
        </w:tc>
        <w:tc>
          <w:tcPr>
            <w:tcW w:type="dxa" w:w="4896"/>
          </w:tcPr>
          <w:p>
            <w:pPr>
              <w:spacing w:before="0" w:after="0" w:line="240" w:lineRule="auto"/>
            </w:pPr>
            <w:r>
              <w:rPr>
                <w:rFonts w:ascii="Calibri" w:hAnsi="Calibri"/>
                <w:b w:val="0"/>
                <w:i w:val="0"/>
                <w:color w:val="112133"/>
                <w:sz w:val="20"/>
              </w:rPr>
              <w:t>Explains pasted or uploaded lab text, extracts values, highlights abnormal items, and builds doctor questions.</w:t>
            </w:r>
          </w:p>
        </w:tc>
      </w:tr>
      <w:tr>
        <w:tc>
          <w:tcPr>
            <w:tcW w:type="dxa" w:w="2232"/>
          </w:tcPr>
          <w:p>
            <w:pPr>
              <w:spacing w:before="0" w:after="0" w:line="240" w:lineRule="auto"/>
            </w:pPr>
            <w:r>
              <w:rPr>
                <w:rFonts w:ascii="Calibri" w:hAnsi="Calibri"/>
                <w:b w:val="0"/>
                <w:i w:val="0"/>
                <w:color w:val="112133"/>
                <w:sz w:val="20"/>
              </w:rPr>
              <w:t>SCHEDULING_AGENT</w:t>
            </w:r>
          </w:p>
        </w:tc>
        <w:tc>
          <w:tcPr>
            <w:tcW w:type="dxa" w:w="2232"/>
          </w:tcPr>
          <w:p>
            <w:pPr>
              <w:spacing w:before="0" w:after="0" w:line="240" w:lineRule="auto"/>
            </w:pPr>
            <w:r>
              <w:rPr>
                <w:rFonts w:ascii="Calibri" w:hAnsi="Calibri"/>
                <w:b w:val="0"/>
                <w:i w:val="0"/>
                <w:color w:val="112133"/>
                <w:sz w:val="20"/>
              </w:rPr>
              <w:t>Visits</w:t>
            </w:r>
          </w:p>
        </w:tc>
        <w:tc>
          <w:tcPr>
            <w:tcW w:type="dxa" w:w="4896"/>
          </w:tcPr>
          <w:p>
            <w:pPr>
              <w:spacing w:before="0" w:after="0" w:line="240" w:lineRule="auto"/>
            </w:pPr>
            <w:r>
              <w:rPr>
                <w:rFonts w:ascii="Calibri" w:hAnsi="Calibri"/>
                <w:b w:val="0"/>
                <w:i w:val="0"/>
                <w:color w:val="112133"/>
                <w:sz w:val="20"/>
              </w:rPr>
              <w:t>Follow-up planning, appointment preparation, visit type inference, readiness gaps, and communication scripts.</w:t>
            </w:r>
          </w:p>
        </w:tc>
      </w:tr>
      <w:tr>
        <w:tc>
          <w:tcPr>
            <w:tcW w:type="dxa" w:w="2232"/>
          </w:tcPr>
          <w:p>
            <w:pPr>
              <w:spacing w:before="0" w:after="0" w:line="240" w:lineRule="auto"/>
            </w:pPr>
            <w:r>
              <w:rPr>
                <w:rFonts w:ascii="Calibri" w:hAnsi="Calibri"/>
                <w:b w:val="0"/>
                <w:i w:val="0"/>
                <w:color w:val="112133"/>
                <w:sz w:val="20"/>
              </w:rPr>
              <w:t>ALERT_AGENT</w:t>
            </w:r>
          </w:p>
        </w:tc>
        <w:tc>
          <w:tcPr>
            <w:tcW w:type="dxa" w:w="2232"/>
          </w:tcPr>
          <w:p>
            <w:pPr>
              <w:spacing w:before="0" w:after="0" w:line="240" w:lineRule="auto"/>
            </w:pPr>
            <w:r>
              <w:rPr>
                <w:rFonts w:ascii="Calibri" w:hAnsi="Calibri"/>
                <w:b w:val="0"/>
                <w:i w:val="0"/>
                <w:color w:val="112133"/>
                <w:sz w:val="20"/>
              </w:rPr>
              <w:t>Safety</w:t>
            </w:r>
          </w:p>
        </w:tc>
        <w:tc>
          <w:tcPr>
            <w:tcW w:type="dxa" w:w="4896"/>
          </w:tcPr>
          <w:p>
            <w:pPr>
              <w:spacing w:before="0" w:after="0" w:line="240" w:lineRule="auto"/>
            </w:pPr>
            <w:r>
              <w:rPr>
                <w:rFonts w:ascii="Calibri" w:hAnsi="Calibri"/>
                <w:b w:val="0"/>
                <w:i w:val="0"/>
                <w:color w:val="112133"/>
                <w:sz w:val="20"/>
              </w:rPr>
              <w:t>Urgent-signal handling, escalation wording, monitoring checklist, and handoff packet generation.</w:t>
            </w:r>
          </w:p>
        </w:tc>
      </w:tr>
      <w:tr>
        <w:tc>
          <w:tcPr>
            <w:tcW w:type="dxa" w:w="2232"/>
          </w:tcPr>
          <w:p>
            <w:pPr>
              <w:spacing w:before="0" w:after="0" w:line="240" w:lineRule="auto"/>
            </w:pPr>
            <w:r>
              <w:rPr>
                <w:rFonts w:ascii="Calibri" w:hAnsi="Calibri"/>
                <w:b w:val="0"/>
                <w:i w:val="0"/>
                <w:color w:val="112133"/>
                <w:sz w:val="20"/>
              </w:rPr>
              <w:t>WELLNESS_AGENT / LIFESTYLE_AGENT</w:t>
            </w:r>
          </w:p>
        </w:tc>
        <w:tc>
          <w:tcPr>
            <w:tcW w:type="dxa" w:w="2232"/>
          </w:tcPr>
          <w:p>
            <w:pPr>
              <w:spacing w:before="0" w:after="0" w:line="240" w:lineRule="auto"/>
            </w:pPr>
            <w:r>
              <w:rPr>
                <w:rFonts w:ascii="Calibri" w:hAnsi="Calibri"/>
                <w:b w:val="0"/>
                <w:i w:val="0"/>
                <w:color w:val="112133"/>
                <w:sz w:val="20"/>
              </w:rPr>
              <w:t>Wellness</w:t>
            </w:r>
          </w:p>
        </w:tc>
        <w:tc>
          <w:tcPr>
            <w:tcW w:type="dxa" w:w="4896"/>
          </w:tcPr>
          <w:p>
            <w:pPr>
              <w:spacing w:before="0" w:after="0" w:line="240" w:lineRule="auto"/>
            </w:pPr>
            <w:r>
              <w:rPr>
                <w:rFonts w:ascii="Calibri" w:hAnsi="Calibri"/>
                <w:b w:val="0"/>
                <w:i w:val="0"/>
                <w:color w:val="112133"/>
                <w:sz w:val="20"/>
              </w:rPr>
              <w:t>Routine-building, stress and sleep guidance, daily health habits, and supportive coaching within safety boundaries.</w:t>
            </w:r>
          </w:p>
        </w:tc>
      </w:tr>
      <w:tr>
        <w:tc>
          <w:tcPr>
            <w:tcW w:type="dxa" w:w="2232"/>
          </w:tcPr>
          <w:p>
            <w:pPr>
              <w:spacing w:before="0" w:after="0" w:line="240" w:lineRule="auto"/>
            </w:pPr>
            <w:r>
              <w:rPr>
                <w:rFonts w:ascii="Calibri" w:hAnsi="Calibri"/>
                <w:b w:val="0"/>
                <w:i w:val="0"/>
                <w:color w:val="112133"/>
                <w:sz w:val="20"/>
              </w:rPr>
              <w:t>RECORDS_AGENT</w:t>
            </w:r>
          </w:p>
        </w:tc>
        <w:tc>
          <w:tcPr>
            <w:tcW w:type="dxa" w:w="2232"/>
          </w:tcPr>
          <w:p>
            <w:pPr>
              <w:spacing w:before="0" w:after="0" w:line="240" w:lineRule="auto"/>
            </w:pPr>
            <w:r>
              <w:rPr>
                <w:rFonts w:ascii="Calibri" w:hAnsi="Calibri"/>
                <w:b w:val="0"/>
                <w:i w:val="0"/>
                <w:color w:val="112133"/>
                <w:sz w:val="20"/>
              </w:rPr>
              <w:t>Records</w:t>
            </w:r>
          </w:p>
        </w:tc>
        <w:tc>
          <w:tcPr>
            <w:tcW w:type="dxa" w:w="4896"/>
          </w:tcPr>
          <w:p>
            <w:pPr>
              <w:spacing w:before="0" w:after="0" w:line="240" w:lineRule="auto"/>
            </w:pPr>
            <w:r>
              <w:rPr>
                <w:rFonts w:ascii="Calibri" w:hAnsi="Calibri"/>
                <w:b w:val="0"/>
                <w:i w:val="0"/>
                <w:color w:val="112133"/>
                <w:sz w:val="20"/>
              </w:rPr>
              <w:t>Local record organization, summaries, doctor-ready packets, and timeline support.</w:t>
            </w:r>
          </w:p>
        </w:tc>
      </w:tr>
      <w:tr>
        <w:tc>
          <w:tcPr>
            <w:tcW w:type="dxa" w:w="2232"/>
          </w:tcPr>
          <w:p>
            <w:pPr>
              <w:spacing w:before="0" w:after="0" w:line="240" w:lineRule="auto"/>
            </w:pPr>
            <w:r>
              <w:rPr>
                <w:rFonts w:ascii="Calibri" w:hAnsi="Calibri"/>
                <w:b w:val="0"/>
                <w:i w:val="0"/>
                <w:color w:val="112133"/>
                <w:sz w:val="20"/>
              </w:rPr>
              <w:t>INSURANCE_AGENT</w:t>
            </w:r>
          </w:p>
        </w:tc>
        <w:tc>
          <w:tcPr>
            <w:tcW w:type="dxa" w:w="2232"/>
          </w:tcPr>
          <w:p>
            <w:pPr>
              <w:spacing w:before="0" w:after="0" w:line="240" w:lineRule="auto"/>
            </w:pPr>
            <w:r>
              <w:rPr>
                <w:rFonts w:ascii="Calibri" w:hAnsi="Calibri"/>
                <w:b w:val="0"/>
                <w:i w:val="0"/>
                <w:color w:val="112133"/>
                <w:sz w:val="20"/>
              </w:rPr>
              <w:t>Insurance</w:t>
            </w:r>
          </w:p>
        </w:tc>
        <w:tc>
          <w:tcPr>
            <w:tcW w:type="dxa" w:w="4896"/>
          </w:tcPr>
          <w:p>
            <w:pPr>
              <w:spacing w:before="0" w:after="0" w:line="240" w:lineRule="auto"/>
            </w:pPr>
            <w:r>
              <w:rPr>
                <w:rFonts w:ascii="Calibri" w:hAnsi="Calibri"/>
                <w:b w:val="0"/>
                <w:i w:val="0"/>
                <w:color w:val="112133"/>
                <w:sz w:val="20"/>
              </w:rPr>
              <w:t>Claim organization, document gaps, benefit questions, appeal preparation, and administrative support.</w:t>
            </w:r>
          </w:p>
        </w:tc>
      </w:tr>
      <w:tr>
        <w:tc>
          <w:tcPr>
            <w:tcW w:type="dxa" w:w="2232"/>
          </w:tcPr>
          <w:p>
            <w:pPr>
              <w:spacing w:before="0" w:after="0" w:line="240" w:lineRule="auto"/>
            </w:pPr>
            <w:r>
              <w:rPr>
                <w:rFonts w:ascii="Calibri" w:hAnsi="Calibri"/>
                <w:b w:val="0"/>
                <w:i w:val="0"/>
                <w:color w:val="112133"/>
                <w:sz w:val="20"/>
              </w:rPr>
              <w:t>CARE_TRANSITIONS_AGENT</w:t>
            </w:r>
          </w:p>
        </w:tc>
        <w:tc>
          <w:tcPr>
            <w:tcW w:type="dxa" w:w="2232"/>
          </w:tcPr>
          <w:p>
            <w:pPr>
              <w:spacing w:before="0" w:after="0" w:line="240" w:lineRule="auto"/>
            </w:pPr>
            <w:r>
              <w:rPr>
                <w:rFonts w:ascii="Calibri" w:hAnsi="Calibri"/>
                <w:b w:val="0"/>
                <w:i w:val="0"/>
                <w:color w:val="112133"/>
                <w:sz w:val="20"/>
              </w:rPr>
              <w:t>Transitions</w:t>
            </w:r>
          </w:p>
        </w:tc>
        <w:tc>
          <w:tcPr>
            <w:tcW w:type="dxa" w:w="4896"/>
          </w:tcPr>
          <w:p>
            <w:pPr>
              <w:spacing w:before="0" w:after="0" w:line="240" w:lineRule="auto"/>
            </w:pPr>
            <w:r>
              <w:rPr>
                <w:rFonts w:ascii="Calibri" w:hAnsi="Calibri"/>
                <w:b w:val="0"/>
                <w:i w:val="0"/>
                <w:color w:val="112133"/>
                <w:sz w:val="20"/>
              </w:rPr>
              <w:t>Discharge and follow-up workflow support.</w:t>
            </w:r>
          </w:p>
        </w:tc>
      </w:tr>
      <w:tr>
        <w:tc>
          <w:tcPr>
            <w:tcW w:type="dxa" w:w="2232"/>
          </w:tcPr>
          <w:p>
            <w:pPr>
              <w:spacing w:before="0" w:after="0" w:line="240" w:lineRule="auto"/>
            </w:pPr>
            <w:r>
              <w:rPr>
                <w:rFonts w:ascii="Calibri" w:hAnsi="Calibri"/>
                <w:b w:val="0"/>
                <w:i w:val="0"/>
                <w:color w:val="112133"/>
                <w:sz w:val="20"/>
              </w:rPr>
              <w:t>CLAIMS_OPS_AGENT / UTILIZATION_AGENT / GXP_QUALITY_AGENT / MEDTECH_COMPLIANCE_AGENT</w:t>
            </w:r>
          </w:p>
        </w:tc>
        <w:tc>
          <w:tcPr>
            <w:tcW w:type="dxa" w:w="2232"/>
          </w:tcPr>
          <w:p>
            <w:pPr>
              <w:spacing w:before="0" w:after="0" w:line="240" w:lineRule="auto"/>
            </w:pPr>
            <w:r>
              <w:rPr>
                <w:rFonts w:ascii="Calibri" w:hAnsi="Calibri"/>
                <w:b w:val="0"/>
                <w:i w:val="0"/>
                <w:color w:val="112133"/>
                <w:sz w:val="20"/>
              </w:rPr>
              <w:t>Operations / regulated workflows</w:t>
            </w:r>
          </w:p>
        </w:tc>
        <w:tc>
          <w:tcPr>
            <w:tcW w:type="dxa" w:w="4896"/>
          </w:tcPr>
          <w:p>
            <w:pPr>
              <w:spacing w:before="0" w:after="0" w:line="240" w:lineRule="auto"/>
            </w:pPr>
            <w:r>
              <w:rPr>
                <w:rFonts w:ascii="Calibri" w:hAnsi="Calibri"/>
                <w:b w:val="0"/>
                <w:i w:val="0"/>
                <w:color w:val="112133"/>
                <w:sz w:val="20"/>
              </w:rPr>
              <w:t>Administrative and regulated-domain drafting helpers for broader healthcare workflow use cases.</w:t>
            </w:r>
          </w:p>
        </w:tc>
      </w:tr>
    </w:tbl>
    <w:p/>
    <w:p>
      <w:pPr>
        <w:spacing w:before="320" w:after="160" w:line="264" w:lineRule="auto"/>
      </w:pPr>
      <w:r>
        <w:rPr>
          <w:rFonts w:ascii="Calibri" w:hAnsi="Calibri"/>
          <w:b/>
          <w:i w:val="0"/>
          <w:color w:val="2E74B5"/>
          <w:sz w:val="32"/>
        </w:rPr>
        <w:t>5. The Knowledge and RAG Layer</w:t>
      </w:r>
    </w:p>
    <w:p>
      <w:pPr>
        <w:spacing w:before="0" w:after="120" w:line="276" w:lineRule="auto"/>
      </w:pPr>
      <w:r>
        <w:rPr>
          <w:rFonts w:ascii="Calibri" w:hAnsi="Calibri"/>
          <w:b w:val="0"/>
          <w:i w:val="0"/>
          <w:color w:val="112133"/>
          <w:sz w:val="22"/>
        </w:rPr>
        <w:t>Care Nova AI has a real offline knowledge subsystem. It is not a separate vector database service; instead, the repository and index are stored as JSON files and searched by a local ranking engine.</w:t>
      </w:r>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tcMar>
              <w:top w:w="90" w:type="dxa"/>
              <w:start w:w="120" w:type="dxa"/>
              <w:bottom w:w="90" w:type="dxa"/>
              <w:end w:w="120" w:type="dxa"/>
            </w:tcMar>
            <w:shd w:fill="F3F6FA"/>
          </w:tcPr>
          <w:p>
            <w:pPr>
              <w:spacing w:before="0" w:after="0" w:line="240" w:lineRule="auto"/>
            </w:pPr>
            <w:r>
              <w:rPr>
                <w:rFonts w:ascii="Calibri" w:hAnsi="Calibri"/>
                <w:b/>
                <w:i w:val="0"/>
                <w:color w:val="576779"/>
                <w:sz w:val="21"/>
              </w:rPr>
              <w:t>Field</w:t>
            </w:r>
          </w:p>
        </w:tc>
        <w:tc>
          <w:tcPr>
            <w:tcW w:type="dxa" w:w="6480"/>
            <w:tcMar>
              <w:top w:w="90" w:type="dxa"/>
              <w:start w:w="120" w:type="dxa"/>
              <w:bottom w:w="90" w:type="dxa"/>
              <w:end w:w="120" w:type="dxa"/>
            </w:tcMar>
            <w:shd w:fill="F3F6FA"/>
          </w:tcPr>
          <w:p>
            <w:pPr>
              <w:spacing w:before="0" w:after="0" w:line="240" w:lineRule="auto"/>
            </w:pPr>
            <w:r>
              <w:rPr>
                <w:rFonts w:ascii="Calibri" w:hAnsi="Calibri"/>
                <w:b/>
                <w:i w:val="0"/>
                <w:color w:val="576779"/>
                <w:sz w:val="21"/>
              </w:rPr>
              <w:t>Value</w:t>
            </w:r>
          </w:p>
        </w:tc>
      </w:tr>
      <w:tr>
        <w:tc>
          <w:tcPr>
            <w:tcW w:type="dxa" w:w="2880"/>
          </w:tcPr>
          <w:p>
            <w:pPr>
              <w:spacing w:before="0" w:after="0" w:line="240" w:lineRule="auto"/>
            </w:pPr>
            <w:r>
              <w:rPr>
                <w:rFonts w:ascii="Calibri" w:hAnsi="Calibri"/>
                <w:b w:val="0"/>
                <w:i w:val="0"/>
                <w:color w:val="112133"/>
                <w:sz w:val="21"/>
              </w:rPr>
              <w:t>Repository file</w:t>
            </w:r>
          </w:p>
        </w:tc>
        <w:tc>
          <w:tcPr>
            <w:tcW w:type="dxa" w:w="6480"/>
          </w:tcPr>
          <w:p>
            <w:pPr>
              <w:spacing w:before="0" w:after="0" w:line="240" w:lineRule="auto"/>
            </w:pPr>
            <w:r>
              <w:rPr>
                <w:rFonts w:ascii="Calibri" w:hAnsi="Calibri"/>
                <w:b w:val="0"/>
                <w:i w:val="0"/>
                <w:color w:val="112133"/>
                <w:sz w:val="21"/>
              </w:rPr>
              <w:t>data/offline-clinical-repository.json</w:t>
            </w:r>
          </w:p>
        </w:tc>
      </w:tr>
      <w:tr>
        <w:tc>
          <w:tcPr>
            <w:tcW w:type="dxa" w:w="2880"/>
          </w:tcPr>
          <w:p>
            <w:pPr>
              <w:spacing w:before="0" w:after="0" w:line="240" w:lineRule="auto"/>
            </w:pPr>
            <w:r>
              <w:rPr>
                <w:rFonts w:ascii="Calibri" w:hAnsi="Calibri"/>
                <w:b w:val="0"/>
                <w:i w:val="0"/>
                <w:color w:val="112133"/>
                <w:sz w:val="21"/>
              </w:rPr>
              <w:t>Base seed file</w:t>
            </w:r>
          </w:p>
        </w:tc>
        <w:tc>
          <w:tcPr>
            <w:tcW w:type="dxa" w:w="6480"/>
          </w:tcPr>
          <w:p>
            <w:pPr>
              <w:spacing w:before="0" w:after="0" w:line="240" w:lineRule="auto"/>
            </w:pPr>
            <w:r>
              <w:rPr>
                <w:rFonts w:ascii="Calibri" w:hAnsi="Calibri"/>
                <w:b w:val="0"/>
                <w:i w:val="0"/>
                <w:color w:val="112133"/>
                <w:sz w:val="21"/>
              </w:rPr>
              <w:t>data/offline-medical-db.json</w:t>
            </w:r>
          </w:p>
        </w:tc>
      </w:tr>
      <w:tr>
        <w:tc>
          <w:tcPr>
            <w:tcW w:type="dxa" w:w="2880"/>
          </w:tcPr>
          <w:p>
            <w:pPr>
              <w:spacing w:before="0" w:after="0" w:line="240" w:lineRule="auto"/>
            </w:pPr>
            <w:r>
              <w:rPr>
                <w:rFonts w:ascii="Calibri" w:hAnsi="Calibri"/>
                <w:b w:val="0"/>
                <w:i w:val="0"/>
                <w:color w:val="112133"/>
                <w:sz w:val="21"/>
              </w:rPr>
              <w:t>Index file</w:t>
            </w:r>
          </w:p>
        </w:tc>
        <w:tc>
          <w:tcPr>
            <w:tcW w:type="dxa" w:w="6480"/>
          </w:tcPr>
          <w:p>
            <w:pPr>
              <w:spacing w:before="0" w:after="0" w:line="240" w:lineRule="auto"/>
            </w:pPr>
            <w:r>
              <w:rPr>
                <w:rFonts w:ascii="Calibri" w:hAnsi="Calibri"/>
                <w:b w:val="0"/>
                <w:i w:val="0"/>
                <w:color w:val="112133"/>
                <w:sz w:val="21"/>
              </w:rPr>
              <w:t>data/offline-knowledge-index.json</w:t>
            </w:r>
          </w:p>
        </w:tc>
      </w:tr>
      <w:tr>
        <w:tc>
          <w:tcPr>
            <w:tcW w:type="dxa" w:w="2880"/>
          </w:tcPr>
          <w:p>
            <w:pPr>
              <w:spacing w:before="0" w:after="0" w:line="240" w:lineRule="auto"/>
            </w:pPr>
            <w:r>
              <w:rPr>
                <w:rFonts w:ascii="Calibri" w:hAnsi="Calibri"/>
                <w:b w:val="0"/>
                <w:i w:val="0"/>
                <w:color w:val="112133"/>
                <w:sz w:val="21"/>
              </w:rPr>
              <w:t>Manifest file</w:t>
            </w:r>
          </w:p>
        </w:tc>
        <w:tc>
          <w:tcPr>
            <w:tcW w:type="dxa" w:w="6480"/>
          </w:tcPr>
          <w:p>
            <w:pPr>
              <w:spacing w:before="0" w:after="0" w:line="240" w:lineRule="auto"/>
            </w:pPr>
            <w:r>
              <w:rPr>
                <w:rFonts w:ascii="Calibri" w:hAnsi="Calibri"/>
                <w:b w:val="0"/>
                <w:i w:val="0"/>
                <w:color w:val="112133"/>
                <w:sz w:val="21"/>
              </w:rPr>
              <w:t>data/offline-repository-manifest.json</w:t>
            </w:r>
          </w:p>
        </w:tc>
      </w:tr>
      <w:tr>
        <w:tc>
          <w:tcPr>
            <w:tcW w:type="dxa" w:w="2880"/>
          </w:tcPr>
          <w:p>
            <w:pPr>
              <w:spacing w:before="0" w:after="0" w:line="240" w:lineRule="auto"/>
            </w:pPr>
            <w:r>
              <w:rPr>
                <w:rFonts w:ascii="Calibri" w:hAnsi="Calibri"/>
                <w:b w:val="0"/>
                <w:i w:val="0"/>
                <w:color w:val="112133"/>
                <w:sz w:val="21"/>
              </w:rPr>
              <w:t>Total retrieval records</w:t>
            </w:r>
          </w:p>
        </w:tc>
        <w:tc>
          <w:tcPr>
            <w:tcW w:type="dxa" w:w="6480"/>
          </w:tcPr>
          <w:p>
            <w:pPr>
              <w:spacing w:before="0" w:after="0" w:line="240" w:lineRule="auto"/>
            </w:pPr>
            <w:r>
              <w:rPr>
                <w:rFonts w:ascii="Calibri" w:hAnsi="Calibri"/>
                <w:b w:val="0"/>
                <w:i w:val="0"/>
                <w:color w:val="112133"/>
                <w:sz w:val="21"/>
              </w:rPr>
              <w:t>206</w:t>
            </w:r>
          </w:p>
        </w:tc>
      </w:tr>
      <w:tr>
        <w:tc>
          <w:tcPr>
            <w:tcW w:type="dxa" w:w="2880"/>
          </w:tcPr>
          <w:p>
            <w:pPr>
              <w:spacing w:before="0" w:after="0" w:line="240" w:lineRule="auto"/>
            </w:pPr>
            <w:r>
              <w:rPr>
                <w:rFonts w:ascii="Calibri" w:hAnsi="Calibri"/>
                <w:b w:val="0"/>
                <w:i w:val="0"/>
                <w:color w:val="112133"/>
                <w:sz w:val="21"/>
              </w:rPr>
              <w:t>Base seeded records</w:t>
            </w:r>
          </w:p>
        </w:tc>
        <w:tc>
          <w:tcPr>
            <w:tcW w:type="dxa" w:w="6480"/>
          </w:tcPr>
          <w:p>
            <w:pPr>
              <w:spacing w:before="0" w:after="0" w:line="240" w:lineRule="auto"/>
            </w:pPr>
            <w:r>
              <w:rPr>
                <w:rFonts w:ascii="Calibri" w:hAnsi="Calibri"/>
                <w:b w:val="0"/>
                <w:i w:val="0"/>
                <w:color w:val="112133"/>
                <w:sz w:val="21"/>
              </w:rPr>
              <w:t>92</w:t>
            </w:r>
          </w:p>
        </w:tc>
      </w:tr>
      <w:tr>
        <w:tc>
          <w:tcPr>
            <w:tcW w:type="dxa" w:w="2880"/>
          </w:tcPr>
          <w:p>
            <w:pPr>
              <w:spacing w:before="0" w:after="0" w:line="240" w:lineRule="auto"/>
            </w:pPr>
            <w:r>
              <w:rPr>
                <w:rFonts w:ascii="Calibri" w:hAnsi="Calibri"/>
                <w:b w:val="0"/>
                <w:i w:val="0"/>
                <w:color w:val="112133"/>
                <w:sz w:val="21"/>
              </w:rPr>
              <w:t>Repository-generated records</w:t>
            </w:r>
          </w:p>
        </w:tc>
        <w:tc>
          <w:tcPr>
            <w:tcW w:type="dxa" w:w="6480"/>
          </w:tcPr>
          <w:p>
            <w:pPr>
              <w:spacing w:before="0" w:after="0" w:line="240" w:lineRule="auto"/>
            </w:pPr>
            <w:r>
              <w:rPr>
                <w:rFonts w:ascii="Calibri" w:hAnsi="Calibri"/>
                <w:b w:val="0"/>
                <w:i w:val="0"/>
                <w:color w:val="112133"/>
                <w:sz w:val="21"/>
              </w:rPr>
              <w:t>62</w:t>
            </w:r>
          </w:p>
        </w:tc>
      </w:tr>
      <w:tr>
        <w:tc>
          <w:tcPr>
            <w:tcW w:type="dxa" w:w="2880"/>
          </w:tcPr>
          <w:p>
            <w:pPr>
              <w:spacing w:before="0" w:after="0" w:line="240" w:lineRule="auto"/>
            </w:pPr>
            <w:r>
              <w:rPr>
                <w:rFonts w:ascii="Calibri" w:hAnsi="Calibri"/>
                <w:b w:val="0"/>
                <w:i w:val="0"/>
                <w:color w:val="112133"/>
                <w:sz w:val="21"/>
              </w:rPr>
              <w:t>Source-pack records</w:t>
            </w:r>
          </w:p>
        </w:tc>
        <w:tc>
          <w:tcPr>
            <w:tcW w:type="dxa" w:w="6480"/>
          </w:tcPr>
          <w:p>
            <w:pPr>
              <w:spacing w:before="0" w:after="0" w:line="240" w:lineRule="auto"/>
            </w:pPr>
            <w:r>
              <w:rPr>
                <w:rFonts w:ascii="Calibri" w:hAnsi="Calibri"/>
                <w:b w:val="0"/>
                <w:i w:val="0"/>
                <w:color w:val="112133"/>
                <w:sz w:val="21"/>
              </w:rPr>
              <w:t>52</w:t>
            </w:r>
          </w:p>
        </w:tc>
      </w:tr>
      <w:tr>
        <w:tc>
          <w:tcPr>
            <w:tcW w:type="dxa" w:w="2880"/>
          </w:tcPr>
          <w:p>
            <w:pPr>
              <w:spacing w:before="0" w:after="0" w:line="240" w:lineRule="auto"/>
            </w:pPr>
            <w:r>
              <w:rPr>
                <w:rFonts w:ascii="Calibri" w:hAnsi="Calibri"/>
                <w:b w:val="0"/>
                <w:i w:val="0"/>
                <w:color w:val="112133"/>
                <w:sz w:val="21"/>
              </w:rPr>
              <w:t>Source pack count</w:t>
            </w:r>
          </w:p>
        </w:tc>
        <w:tc>
          <w:tcPr>
            <w:tcW w:type="dxa" w:w="6480"/>
          </w:tcPr>
          <w:p>
            <w:pPr>
              <w:spacing w:before="0" w:after="0" w:line="240" w:lineRule="auto"/>
            </w:pPr>
            <w:r>
              <w:rPr>
                <w:rFonts w:ascii="Calibri" w:hAnsi="Calibri"/>
                <w:b w:val="0"/>
                <w:i w:val="0"/>
                <w:color w:val="112133"/>
                <w:sz w:val="21"/>
              </w:rPr>
              <w:t>4</w:t>
            </w:r>
          </w:p>
        </w:tc>
      </w:tr>
      <w:tr>
        <w:tc>
          <w:tcPr>
            <w:tcW w:type="dxa" w:w="2880"/>
          </w:tcPr>
          <w:p>
            <w:pPr>
              <w:spacing w:before="0" w:after="0" w:line="240" w:lineRule="auto"/>
            </w:pPr>
            <w:r>
              <w:rPr>
                <w:rFonts w:ascii="Calibri" w:hAnsi="Calibri"/>
                <w:b w:val="0"/>
                <w:i w:val="0"/>
                <w:color w:val="112133"/>
                <w:sz w:val="21"/>
              </w:rPr>
              <w:t>Source family count</w:t>
            </w:r>
          </w:p>
        </w:tc>
        <w:tc>
          <w:tcPr>
            <w:tcW w:type="dxa" w:w="6480"/>
          </w:tcPr>
          <w:p>
            <w:pPr>
              <w:spacing w:before="0" w:after="0" w:line="240" w:lineRule="auto"/>
            </w:pPr>
            <w:r>
              <w:rPr>
                <w:rFonts w:ascii="Calibri" w:hAnsi="Calibri"/>
                <w:b w:val="0"/>
                <w:i w:val="0"/>
                <w:color w:val="112133"/>
                <w:sz w:val="21"/>
              </w:rPr>
              <w:t>5</w:t>
            </w:r>
          </w:p>
        </w:tc>
      </w:tr>
      <w:tr>
        <w:tc>
          <w:tcPr>
            <w:tcW w:type="dxa" w:w="2880"/>
          </w:tcPr>
          <w:p>
            <w:pPr>
              <w:spacing w:before="0" w:after="0" w:line="240" w:lineRule="auto"/>
            </w:pPr>
            <w:r>
              <w:rPr>
                <w:rFonts w:ascii="Calibri" w:hAnsi="Calibri"/>
                <w:b w:val="0"/>
                <w:i w:val="0"/>
                <w:color w:val="112133"/>
                <w:sz w:val="21"/>
              </w:rPr>
              <w:t>Indexed tokens</w:t>
            </w:r>
          </w:p>
        </w:tc>
        <w:tc>
          <w:tcPr>
            <w:tcW w:type="dxa" w:w="6480"/>
          </w:tcPr>
          <w:p>
            <w:pPr>
              <w:spacing w:before="0" w:after="0" w:line="240" w:lineRule="auto"/>
            </w:pPr>
            <w:r>
              <w:rPr>
                <w:rFonts w:ascii="Calibri" w:hAnsi="Calibri"/>
                <w:b w:val="0"/>
                <w:i w:val="0"/>
                <w:color w:val="112133"/>
                <w:sz w:val="21"/>
              </w:rPr>
              <w:t>480</w:t>
            </w:r>
          </w:p>
        </w:tc>
      </w:tr>
    </w:tbl>
    <w:p/>
    <w:p>
      <w:pPr>
        <w:spacing w:before="0" w:after="120" w:line="276" w:lineRule="auto"/>
      </w:pPr>
      <w:r>
        <w:rPr>
          <w:rFonts w:ascii="Calibri" w:hAnsi="Calibri"/>
          <w:b w:val="0"/>
          <w:i w:val="0"/>
          <w:color w:val="112133"/>
          <w:sz w:val="22"/>
        </w:rPr>
        <w:t>The offline repository is built by scripts/build-offline-repository.js. That build script normalizes base records, merges modular source packs, enriches each record, builds a lexical/vector-style index, and emits a manifest containing source governance, licensing notes, maintenance workflow, and distribution counts.</w:t>
      </w:r>
    </w:p>
    <w:p>
      <w:pPr>
        <w:pStyle w:val="ListBullet"/>
        <w:spacing w:before="0" w:after="80" w:line="276" w:lineRule="auto"/>
      </w:pPr>
      <w:r>
        <w:rPr>
          <w:rFonts w:ascii="Calibri" w:hAnsi="Calibri"/>
          <w:b w:val="0"/>
          <w:i w:val="0"/>
          <w:color w:val="112133"/>
          <w:sz w:val="22"/>
        </w:rPr>
        <w:t>rankLocalMedicalKnowledge() in src/localAiEngine.js is the heart of local retrieval.</w:t>
      </w:r>
    </w:p>
    <w:p>
      <w:pPr>
        <w:pStyle w:val="ListBullet"/>
        <w:spacing w:before="0" w:after="80" w:line="276" w:lineRule="auto"/>
      </w:pPr>
      <w:r>
        <w:rPr>
          <w:rFonts w:ascii="Calibri" w:hAnsi="Calibri"/>
          <w:b w:val="0"/>
          <w:i w:val="0"/>
          <w:color w:val="112133"/>
          <w:sz w:val="22"/>
        </w:rPr>
        <w:t>The ranker combines tokenization, synonym expansion, exact phrase hits, TF-IDF style vector similarity, medical entity alignment, clinical domain matching, numeric vital/lab signal matching, route-tag alignment, population context, and urgent-safety boosts.</w:t>
      </w:r>
    </w:p>
    <w:p>
      <w:pPr>
        <w:pStyle w:val="ListBullet"/>
        <w:spacing w:before="0" w:after="80" w:line="276" w:lineRule="auto"/>
      </w:pPr>
      <w:r>
        <w:rPr>
          <w:rFonts w:ascii="Calibri" w:hAnsi="Calibri"/>
          <w:b w:val="0"/>
          <w:i w:val="0"/>
          <w:color w:val="112133"/>
          <w:sz w:val="22"/>
        </w:rPr>
        <w:t>Each match receives a relevance score, matched terms, semantic families, route-tag hits, and an evidence grade such as strong, good, supporting, or weak.</w:t>
      </w:r>
    </w:p>
    <w:p>
      <w:pPr>
        <w:pStyle w:val="ListBullet"/>
        <w:spacing w:before="0" w:after="80" w:line="276" w:lineRule="auto"/>
      </w:pPr>
      <w:r>
        <w:rPr>
          <w:rFonts w:ascii="Calibri" w:hAnsi="Calibri"/>
          <w:b w:val="0"/>
          <w:i w:val="0"/>
          <w:color w:val="112133"/>
          <w:sz w:val="22"/>
        </w:rPr>
        <w:t>retrieveMedicalKnowledge() in src/healthEngine.js wraps that ranker with request-aware scopes, caching, and route-specific retrieval policies.</w:t>
      </w:r>
    </w:p>
    <w:p>
      <w:pPr>
        <w:pStyle w:val="ListBullet"/>
        <w:spacing w:before="0" w:after="80" w:line="276" w:lineRule="auto"/>
      </w:pPr>
      <w:r>
        <w:rPr>
          <w:rFonts w:ascii="Calibri" w:hAnsi="Calibri"/>
          <w:b w:val="0"/>
          <w:i w:val="0"/>
          <w:color w:val="112133"/>
          <w:sz w:val="22"/>
        </w:rPr>
        <w:t>External online knowledge, when enabled, is normalized and cached locally before reuse; it does not bypass local guardrails.</w:t>
      </w:r>
    </w:p>
    <w:p>
      <w:pPr>
        <w:spacing w:before="320" w:after="160" w:line="264" w:lineRule="auto"/>
      </w:pPr>
      <w:r>
        <w:rPr>
          <w:rFonts w:ascii="Calibri" w:hAnsi="Calibri"/>
          <w:b/>
          <w:i w:val="0"/>
          <w:color w:val="2E74B5"/>
          <w:sz w:val="32"/>
        </w:rPr>
        <w:t>6. Model Routing and LLM Participation</w:t>
      </w:r>
    </w:p>
    <w:p>
      <w:pPr>
        <w:spacing w:before="0" w:after="120" w:line="276" w:lineRule="auto"/>
      </w:pPr>
      <w:r>
        <w:rPr>
          <w:rFonts w:ascii="Calibri" w:hAnsi="Calibri"/>
          <w:b w:val="0"/>
          <w:i w:val="0"/>
          <w:color w:val="112133"/>
          <w:sz w:val="22"/>
        </w:rPr>
        <w:t>The project uses the word 'model' in several layers. The important distinction is that the deterministic local core always exists, while optional LLM runtimes refine or rewrite parts of the output when available.</w:t>
      </w:r>
    </w:p>
    <w:tbl>
      <w:tblPr>
        <w:tblStyle w:val="TableGrid"/>
        <w:tblW w:type="auto" w:w="0"/>
        <w:tblLayout w:type="fixed"/>
        <w:tblLook w:firstColumn="1" w:firstRow="1" w:lastColumn="0" w:lastRow="0" w:noHBand="0" w:noVBand="1" w:val="04A0"/>
      </w:tblPr>
      <w:tblGrid>
        <w:gridCol w:w="1800"/>
        <w:gridCol w:w="2880"/>
        <w:gridCol w:w="4680"/>
      </w:tblGrid>
      <w:tr>
        <w:trPr>
          <w:tblHeader w:val="true"/>
        </w:trPr>
        <w:tc>
          <w:tcPr>
            <w:tcW w:type="dxa" w:w="1800"/>
            <w:tcMar>
              <w:top w:w="90" w:type="dxa"/>
              <w:start w:w="120" w:type="dxa"/>
              <w:bottom w:w="90" w:type="dxa"/>
              <w:end w:w="120" w:type="dxa"/>
            </w:tcMar>
            <w:shd w:fill="F3F6FA"/>
          </w:tcPr>
          <w:p>
            <w:pPr>
              <w:spacing w:before="0" w:after="0" w:line="240" w:lineRule="auto"/>
            </w:pPr>
            <w:r>
              <w:rPr>
                <w:rFonts w:ascii="Calibri" w:hAnsi="Calibri"/>
                <w:b/>
                <w:i w:val="0"/>
                <w:color w:val="576779"/>
                <w:sz w:val="20"/>
              </w:rPr>
              <w:t>Layer</w:t>
            </w:r>
          </w:p>
        </w:tc>
        <w:tc>
          <w:tcPr>
            <w:tcW w:type="dxa" w:w="2880"/>
            <w:tcMar>
              <w:top w:w="90" w:type="dxa"/>
              <w:start w:w="120" w:type="dxa"/>
              <w:bottom w:w="90" w:type="dxa"/>
              <w:end w:w="120" w:type="dxa"/>
            </w:tcMar>
            <w:shd w:fill="F3F6FA"/>
          </w:tcPr>
          <w:p>
            <w:pPr>
              <w:spacing w:before="0" w:after="0" w:line="240" w:lineRule="auto"/>
            </w:pPr>
            <w:r>
              <w:rPr>
                <w:rFonts w:ascii="Calibri" w:hAnsi="Calibri"/>
                <w:b/>
                <w:i w:val="0"/>
                <w:color w:val="576779"/>
                <w:sz w:val="20"/>
              </w:rPr>
              <w:t>Main file</w:t>
            </w:r>
          </w:p>
        </w:tc>
        <w:tc>
          <w:tcPr>
            <w:tcW w:type="dxa" w:w="4680"/>
            <w:tcMar>
              <w:top w:w="90" w:type="dxa"/>
              <w:start w:w="120" w:type="dxa"/>
              <w:bottom w:w="90" w:type="dxa"/>
              <w:end w:w="120" w:type="dxa"/>
            </w:tcMar>
            <w:shd w:fill="F3F6FA"/>
          </w:tcPr>
          <w:p>
            <w:pPr>
              <w:spacing w:before="0" w:after="0" w:line="240" w:lineRule="auto"/>
            </w:pPr>
            <w:r>
              <w:rPr>
                <w:rFonts w:ascii="Calibri" w:hAnsi="Calibri"/>
                <w:b/>
                <w:i w:val="0"/>
                <w:color w:val="576779"/>
                <w:sz w:val="20"/>
              </w:rPr>
              <w:t>What it actually does</w:t>
            </w:r>
          </w:p>
        </w:tc>
      </w:tr>
      <w:tr>
        <w:tc>
          <w:tcPr>
            <w:tcW w:type="dxa" w:w="1800"/>
          </w:tcPr>
          <w:p>
            <w:pPr>
              <w:spacing w:before="0" w:after="0" w:line="240" w:lineRule="auto"/>
            </w:pPr>
            <w:r>
              <w:rPr>
                <w:rFonts w:ascii="Calibri" w:hAnsi="Calibri"/>
                <w:b w:val="0"/>
                <w:i w:val="0"/>
                <w:color w:val="112133"/>
                <w:sz w:val="20"/>
              </w:rPr>
              <w:t>Hybrid router</w:t>
            </w:r>
          </w:p>
        </w:tc>
        <w:tc>
          <w:tcPr>
            <w:tcW w:type="dxa" w:w="2880"/>
          </w:tcPr>
          <w:p>
            <w:pPr>
              <w:spacing w:before="0" w:after="0" w:line="240" w:lineRule="auto"/>
            </w:pPr>
            <w:r>
              <w:rPr>
                <w:rFonts w:ascii="Calibri" w:hAnsi="Calibri"/>
                <w:b w:val="0"/>
                <w:i w:val="0"/>
                <w:color w:val="112133"/>
                <w:sz w:val="20"/>
              </w:rPr>
              <w:t>src/hybridModelRouter.js</w:t>
            </w:r>
          </w:p>
        </w:tc>
        <w:tc>
          <w:tcPr>
            <w:tcW w:type="dxa" w:w="4680"/>
          </w:tcPr>
          <w:p>
            <w:pPr>
              <w:spacing w:before="0" w:after="0" w:line="240" w:lineRule="auto"/>
            </w:pPr>
            <w:r>
              <w:rPr>
                <w:rFonts w:ascii="Calibri" w:hAnsi="Calibri"/>
                <w:b w:val="0"/>
                <w:i w:val="0"/>
                <w:color w:val="112133"/>
                <w:sz w:val="20"/>
              </w:rPr>
              <w:t>Scores request complexity, safety context, policy, and connectivity to choose local, cloud, or hybrid processing.</w:t>
            </w:r>
          </w:p>
        </w:tc>
      </w:tr>
      <w:tr>
        <w:tc>
          <w:tcPr>
            <w:tcW w:type="dxa" w:w="1800"/>
          </w:tcPr>
          <w:p>
            <w:pPr>
              <w:spacing w:before="0" w:after="0" w:line="240" w:lineRule="auto"/>
            </w:pPr>
            <w:r>
              <w:rPr>
                <w:rFonts w:ascii="Calibri" w:hAnsi="Calibri"/>
                <w:b w:val="0"/>
                <w:i w:val="0"/>
                <w:color w:val="112133"/>
                <w:sz w:val="20"/>
              </w:rPr>
              <w:t>Local runtime probe</w:t>
            </w:r>
          </w:p>
        </w:tc>
        <w:tc>
          <w:tcPr>
            <w:tcW w:type="dxa" w:w="2880"/>
          </w:tcPr>
          <w:p>
            <w:pPr>
              <w:spacing w:before="0" w:after="0" w:line="240" w:lineRule="auto"/>
            </w:pPr>
            <w:r>
              <w:rPr>
                <w:rFonts w:ascii="Calibri" w:hAnsi="Calibri"/>
                <w:b w:val="0"/>
                <w:i w:val="0"/>
                <w:color w:val="112133"/>
                <w:sz w:val="20"/>
              </w:rPr>
              <w:t>src/openSourceLocalRuntime.js</w:t>
            </w:r>
          </w:p>
        </w:tc>
        <w:tc>
          <w:tcPr>
            <w:tcW w:type="dxa" w:w="4680"/>
          </w:tcPr>
          <w:p>
            <w:pPr>
              <w:spacing w:before="0" w:after="0" w:line="240" w:lineRule="auto"/>
            </w:pPr>
            <w:r>
              <w:rPr>
                <w:rFonts w:ascii="Calibri" w:hAnsi="Calibri"/>
                <w:b w:val="0"/>
                <w:i w:val="0"/>
                <w:color w:val="112133"/>
                <w:sz w:val="20"/>
              </w:rPr>
              <w:t>Detects and probes local OpenAI-compatible runtimes such as Ollama and LM Studio, checks reachable endpoints, and confirms model availability.</w:t>
            </w:r>
          </w:p>
        </w:tc>
      </w:tr>
      <w:tr>
        <w:tc>
          <w:tcPr>
            <w:tcW w:type="dxa" w:w="1800"/>
          </w:tcPr>
          <w:p>
            <w:pPr>
              <w:spacing w:before="0" w:after="0" w:line="240" w:lineRule="auto"/>
            </w:pPr>
            <w:r>
              <w:rPr>
                <w:rFonts w:ascii="Calibri" w:hAnsi="Calibri"/>
                <w:b w:val="0"/>
                <w:i w:val="0"/>
                <w:color w:val="112133"/>
                <w:sz w:val="20"/>
              </w:rPr>
              <w:t>Specialist assist</w:t>
            </w:r>
          </w:p>
        </w:tc>
        <w:tc>
          <w:tcPr>
            <w:tcW w:type="dxa" w:w="2880"/>
          </w:tcPr>
          <w:p>
            <w:pPr>
              <w:spacing w:before="0" w:after="0" w:line="240" w:lineRule="auto"/>
            </w:pPr>
            <w:r>
              <w:rPr>
                <w:rFonts w:ascii="Calibri" w:hAnsi="Calibri"/>
                <w:b w:val="0"/>
                <w:i w:val="0"/>
                <w:color w:val="112133"/>
                <w:sz w:val="20"/>
              </w:rPr>
              <w:t>src/specialistLlmGateway.js</w:t>
            </w:r>
          </w:p>
        </w:tc>
        <w:tc>
          <w:tcPr>
            <w:tcW w:type="dxa" w:w="4680"/>
          </w:tcPr>
          <w:p>
            <w:pPr>
              <w:spacing w:before="0" w:after="0" w:line="240" w:lineRule="auto"/>
            </w:pPr>
            <w:r>
              <w:rPr>
                <w:rFonts w:ascii="Calibri" w:hAnsi="Calibri"/>
                <w:b w:val="0"/>
                <w:i w:val="0"/>
                <w:color w:val="112133"/>
                <w:sz w:val="20"/>
              </w:rPr>
              <w:t>Optionally refines deterministic specialist agent outputs for up to a bounded set of routes.</w:t>
            </w:r>
          </w:p>
        </w:tc>
      </w:tr>
      <w:tr>
        <w:tc>
          <w:tcPr>
            <w:tcW w:type="dxa" w:w="1800"/>
          </w:tcPr>
          <w:p>
            <w:pPr>
              <w:spacing w:before="0" w:after="0" w:line="240" w:lineRule="auto"/>
            </w:pPr>
            <w:r>
              <w:rPr>
                <w:rFonts w:ascii="Calibri" w:hAnsi="Calibri"/>
                <w:b w:val="0"/>
                <w:i w:val="0"/>
                <w:color w:val="112133"/>
                <w:sz w:val="20"/>
              </w:rPr>
              <w:t>Local reasoning assist</w:t>
            </w:r>
          </w:p>
        </w:tc>
        <w:tc>
          <w:tcPr>
            <w:tcW w:type="dxa" w:w="2880"/>
          </w:tcPr>
          <w:p>
            <w:pPr>
              <w:spacing w:before="0" w:after="0" w:line="240" w:lineRule="auto"/>
            </w:pPr>
            <w:r>
              <w:rPr>
                <w:rFonts w:ascii="Calibri" w:hAnsi="Calibri"/>
                <w:b w:val="0"/>
                <w:i w:val="0"/>
                <w:color w:val="112133"/>
                <w:sz w:val="20"/>
              </w:rPr>
              <w:t>src/localReasoningGateway.js</w:t>
            </w:r>
          </w:p>
        </w:tc>
        <w:tc>
          <w:tcPr>
            <w:tcW w:type="dxa" w:w="4680"/>
          </w:tcPr>
          <w:p>
            <w:pPr>
              <w:spacing w:before="0" w:after="0" w:line="240" w:lineRule="auto"/>
            </w:pPr>
            <w:r>
              <w:rPr>
                <w:rFonts w:ascii="Calibri" w:hAnsi="Calibri"/>
                <w:b w:val="0"/>
                <w:i w:val="0"/>
                <w:color w:val="112133"/>
                <w:sz w:val="20"/>
              </w:rPr>
              <w:t>Runs a route-aware open-source local second pass after the main analysis and only applies changes if final guardrails still pass.</w:t>
            </w:r>
          </w:p>
        </w:tc>
      </w:tr>
      <w:tr>
        <w:tc>
          <w:tcPr>
            <w:tcW w:type="dxa" w:w="1800"/>
          </w:tcPr>
          <w:p>
            <w:pPr>
              <w:spacing w:before="0" w:after="0" w:line="240" w:lineRule="auto"/>
            </w:pPr>
            <w:r>
              <w:rPr>
                <w:rFonts w:ascii="Calibri" w:hAnsi="Calibri"/>
                <w:b w:val="0"/>
                <w:i w:val="0"/>
                <w:color w:val="112133"/>
                <w:sz w:val="20"/>
              </w:rPr>
              <w:t>Cloud rewrite assist</w:t>
            </w:r>
          </w:p>
        </w:tc>
        <w:tc>
          <w:tcPr>
            <w:tcW w:type="dxa" w:w="2880"/>
          </w:tcPr>
          <w:p>
            <w:pPr>
              <w:spacing w:before="0" w:after="0" w:line="240" w:lineRule="auto"/>
            </w:pPr>
            <w:r>
              <w:rPr>
                <w:rFonts w:ascii="Calibri" w:hAnsi="Calibri"/>
                <w:b w:val="0"/>
                <w:i w:val="0"/>
                <w:color w:val="112133"/>
                <w:sz w:val="20"/>
              </w:rPr>
              <w:t>src/cloudLlmGateway.js</w:t>
            </w:r>
          </w:p>
        </w:tc>
        <w:tc>
          <w:tcPr>
            <w:tcW w:type="dxa" w:w="4680"/>
          </w:tcPr>
          <w:p>
            <w:pPr>
              <w:spacing w:before="0" w:after="0" w:line="240" w:lineRule="auto"/>
            </w:pPr>
            <w:r>
              <w:rPr>
                <w:rFonts w:ascii="Calibri" w:hAnsi="Calibri"/>
                <w:b w:val="0"/>
                <w:i w:val="0"/>
                <w:color w:val="112133"/>
                <w:sz w:val="20"/>
              </w:rPr>
              <w:t>Provides an opt-in cloud rewrite or route-aware second pass when environment flags explicitly allow paid/cloud usage.</w:t>
            </w:r>
          </w:p>
        </w:tc>
      </w:tr>
    </w:tbl>
    <w:p/>
    <w:p>
      <w:pPr>
        <w:spacing w:before="0" w:after="120" w:line="276" w:lineRule="auto"/>
      </w:pPr>
      <w:r>
        <w:rPr>
          <w:rFonts w:ascii="Calibri" w:hAnsi="Calibri"/>
          <w:b w:val="0"/>
          <w:i w:val="0"/>
          <w:color w:val="112133"/>
          <w:sz w:val="22"/>
        </w:rPr>
        <w:t>The default environment file shows that the project is designed to prefer local models and the lowest-cost route. The currently declared local open-source families are: deepseek-r1, llama-3, mistral, gemma, qwen.</w:t>
      </w:r>
    </w:p>
    <w:p>
      <w:pPr>
        <w:pStyle w:val="ListBullet"/>
        <w:spacing w:before="0" w:after="80" w:line="276" w:lineRule="auto"/>
      </w:pPr>
      <w:r>
        <w:rPr>
          <w:rFonts w:ascii="Calibri" w:hAnsi="Calibri"/>
          <w:b w:val="0"/>
          <w:i w:val="0"/>
          <w:color w:val="112133"/>
          <w:sz w:val="22"/>
        </w:rPr>
        <w:t>The hybrid router can assemble an open-source participation plan with a primary reasoner, verifier, and responder when more than one local model is available.</w:t>
      </w:r>
    </w:p>
    <w:p>
      <w:pPr>
        <w:pStyle w:val="ListBullet"/>
        <w:spacing w:before="0" w:after="80" w:line="276" w:lineRule="auto"/>
      </w:pPr>
      <w:r>
        <w:rPr>
          <w:rFonts w:ascii="Calibri" w:hAnsi="Calibri"/>
          <w:b w:val="0"/>
          <w:i w:val="0"/>
          <w:color w:val="112133"/>
          <w:sz w:val="22"/>
        </w:rPr>
        <w:t>If cloud access is disabled or unavailable, the router falls back to the best local model and then to the deterministic Care Nova core.</w:t>
      </w:r>
    </w:p>
    <w:p>
      <w:pPr>
        <w:pStyle w:val="ListBullet"/>
        <w:spacing w:before="0" w:after="80" w:line="276" w:lineRule="auto"/>
      </w:pPr>
      <w:r>
        <w:rPr>
          <w:rFonts w:ascii="Calibri" w:hAnsi="Calibri"/>
          <w:b w:val="0"/>
          <w:i w:val="0"/>
          <w:color w:val="112133"/>
          <w:sz w:val="22"/>
        </w:rPr>
        <w:t>The local reasoning assist and specialist LLM assist are enhancement paths; they do not replace the baseline deterministic health engine.</w:t>
      </w:r>
    </w:p>
    <w:p>
      <w:pPr>
        <w:pStyle w:val="ListBullet"/>
        <w:spacing w:before="0" w:after="80" w:line="276" w:lineRule="auto"/>
      </w:pPr>
      <w:r>
        <w:rPr>
          <w:rFonts w:ascii="Calibri" w:hAnsi="Calibri"/>
          <w:b w:val="0"/>
          <w:i w:val="0"/>
          <w:color w:val="112133"/>
          <w:sz w:val="22"/>
        </w:rPr>
        <w:t>Because all LLM assists are wrapped around guardrails and route boundaries, the project tries to preserve safety even when a model is configured.</w:t>
      </w:r>
    </w:p>
    <w:p>
      <w:pPr>
        <w:spacing w:before="320" w:after="160" w:line="264" w:lineRule="auto"/>
      </w:pPr>
      <w:r>
        <w:rPr>
          <w:rFonts w:ascii="Calibri" w:hAnsi="Calibri"/>
          <w:b/>
          <w:i w:val="0"/>
          <w:color w:val="2E74B5"/>
          <w:sz w:val="32"/>
        </w:rPr>
        <w:t>7. What Machine Learning Exists Today</w:t>
      </w:r>
    </w:p>
    <w:p>
      <w:pPr>
        <w:spacing w:before="0" w:after="120" w:line="276" w:lineRule="auto"/>
      </w:pPr>
      <w:r>
        <w:rPr>
          <w:rFonts w:ascii="Calibri" w:hAnsi="Calibri"/>
          <w:b w:val="0"/>
          <w:i w:val="0"/>
          <w:color w:val="112133"/>
          <w:sz w:val="22"/>
        </w:rPr>
        <w:t>The repository includes a training engine, but it is important to describe it precisely. The current implementation is a lightweight calibration system, not a full local medical foundation-model training stack.</w:t>
      </w:r>
    </w:p>
    <w:p>
      <w:pPr>
        <w:pStyle w:val="ListBullet"/>
        <w:spacing w:before="0" w:after="80" w:line="276" w:lineRule="auto"/>
      </w:pPr>
      <w:r>
        <w:rPr>
          <w:rFonts w:ascii="Calibri" w:hAnsi="Calibri"/>
          <w:b w:val="0"/>
          <w:i w:val="0"/>
          <w:color w:val="112133"/>
          <w:sz w:val="22"/>
        </w:rPr>
        <w:t>src/trainingEngine.js stores approved examples in a local JSON training file and builds route priors, keyword-route weights, route reliability scores, and a confusion matrix.</w:t>
      </w:r>
    </w:p>
    <w:p>
      <w:pPr>
        <w:pStyle w:val="ListBullet"/>
        <w:spacing w:before="0" w:after="80" w:line="276" w:lineRule="auto"/>
      </w:pPr>
      <w:r>
        <w:rPr>
          <w:rFonts w:ascii="Calibri" w:hAnsi="Calibri"/>
          <w:b w:val="0"/>
          <w:i w:val="0"/>
          <w:color w:val="112133"/>
          <w:sz w:val="22"/>
        </w:rPr>
        <w:t>The training metadata explicitly reports noPhiTraining: true and medicalFactTraining: false. That means patient examples are intended for routing and calibration, not for learning new medical facts.</w:t>
      </w:r>
    </w:p>
    <w:p>
      <w:pPr>
        <w:pStyle w:val="ListBullet"/>
        <w:spacing w:before="0" w:after="80" w:line="276" w:lineRule="auto"/>
      </w:pPr>
      <w:r>
        <w:rPr>
          <w:rFonts w:ascii="Calibri" w:hAnsi="Calibri"/>
          <w:b w:val="0"/>
          <w:i w:val="0"/>
          <w:color w:val="112133"/>
          <w:sz w:val="22"/>
        </w:rPr>
        <w:t>The calibration model improves route fit and reliability scoring; it does not turn the app into a self-updating clinical knowledge source.</w:t>
      </w:r>
    </w:p>
    <w:p>
      <w:pPr>
        <w:pStyle w:val="ListBullet"/>
        <w:spacing w:before="0" w:after="80" w:line="276" w:lineRule="auto"/>
      </w:pPr>
      <w:r>
        <w:rPr>
          <w:rFonts w:ascii="Calibri" w:hAnsi="Calibri"/>
          <w:b w:val="0"/>
          <w:i w:val="0"/>
          <w:color w:val="112133"/>
          <w:sz w:val="22"/>
        </w:rPr>
        <w:t>The retrieval layer itself behaves like a compact local ML ranker through weighted scoring and TF-IDF style vectors, but it is still deterministic and repository-bounded.</w:t>
      </w:r>
    </w:p>
    <w:tbl>
      <w:tblPr>
        <w:tblStyle w:val="TableGrid"/>
        <w:tblW w:type="auto" w:w="0"/>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shd w:fill="F3F6FA"/>
          </w:tcPr>
          <w:p>
            <w:pPr>
              <w:spacing w:before="0" w:after="0" w:line="264" w:lineRule="auto"/>
            </w:pPr>
            <w:r>
              <w:rPr>
                <w:rFonts w:ascii="Calibri" w:hAnsi="Calibri"/>
                <w:b/>
                <w:i w:val="0"/>
                <w:color w:val="1F4D78"/>
                <w:sz w:val="21"/>
              </w:rPr>
              <w:t xml:space="preserve">Accuracy note: </w:t>
            </w:r>
            <w:r>
              <w:rPr>
                <w:rFonts w:ascii="Calibri" w:hAnsi="Calibri"/>
                <w:b w:val="0"/>
                <w:i w:val="0"/>
                <w:color w:val="112133"/>
                <w:sz w:val="21"/>
              </w:rPr>
              <w:t>The strongest accuracy path in this codebase comes from the combination of route control, risk gates, offline knowledge retrieval, and structured persistence. The optional LLM layers improve phrasing or specialist refinement, but they are not the only source of correctness.</w:t>
            </w:r>
          </w:p>
        </w:tc>
      </w:tr>
    </w:tbl>
    <w:p/>
    <w:p>
      <w:pPr>
        <w:spacing w:before="320" w:after="160" w:line="264" w:lineRule="auto"/>
      </w:pPr>
      <w:r>
        <w:rPr>
          <w:rFonts w:ascii="Calibri" w:hAnsi="Calibri"/>
          <w:b/>
          <w:i w:val="0"/>
          <w:color w:val="2E74B5"/>
          <w:sz w:val="32"/>
        </w:rPr>
        <w:t>8. Persistence, Privacy, and Local Data</w:t>
      </w:r>
    </w:p>
    <w:p>
      <w:pPr>
        <w:spacing w:before="0" w:after="120" w:line="276" w:lineRule="auto"/>
      </w:pPr>
      <w:r>
        <w:rPr>
          <w:rFonts w:ascii="Calibri" w:hAnsi="Calibri"/>
          <w:b w:val="0"/>
          <w:i w:val="0"/>
          <w:color w:val="112133"/>
          <w:sz w:val="22"/>
        </w:rPr>
        <w:t>Patient context is stored on the local machine rather than in a remote database by default. The project separates several types of data so that the next interaction can reuse context without collapsing everything into one flat file.</w:t>
      </w:r>
    </w:p>
    <w:tbl>
      <w:tblPr>
        <w:tblStyle w:val="TableGrid"/>
        <w:tblW w:type="auto" w:w="0"/>
        <w:tblLayout w:type="fixed"/>
        <w:tblLook w:firstColumn="1" w:firstRow="1" w:lastColumn="0" w:lastRow="0" w:noHBand="0" w:noVBand="1" w:val="04A0"/>
      </w:tblPr>
      <w:tblGrid>
        <w:gridCol w:w="1728"/>
        <w:gridCol w:w="3384"/>
        <w:gridCol w:w="4248"/>
      </w:tblGrid>
      <w:tr>
        <w:trPr>
          <w:tblHeader w:val="true"/>
        </w:trPr>
        <w:tc>
          <w:tcPr>
            <w:tcW w:type="dxa" w:w="1728"/>
            <w:tcMar>
              <w:top w:w="90" w:type="dxa"/>
              <w:start w:w="120" w:type="dxa"/>
              <w:bottom w:w="90" w:type="dxa"/>
              <w:end w:w="120" w:type="dxa"/>
            </w:tcMar>
            <w:shd w:fill="F3F6FA"/>
          </w:tcPr>
          <w:p>
            <w:pPr>
              <w:spacing w:before="0" w:after="0" w:line="240" w:lineRule="auto"/>
            </w:pPr>
            <w:r>
              <w:rPr>
                <w:rFonts w:ascii="Calibri" w:hAnsi="Calibri"/>
                <w:b/>
                <w:i w:val="0"/>
                <w:color w:val="576779"/>
                <w:sz w:val="20"/>
              </w:rPr>
              <w:t>Store</w:t>
            </w:r>
          </w:p>
        </w:tc>
        <w:tc>
          <w:tcPr>
            <w:tcW w:type="dxa" w:w="3384"/>
            <w:tcMar>
              <w:top w:w="90" w:type="dxa"/>
              <w:start w:w="120" w:type="dxa"/>
              <w:bottom w:w="90" w:type="dxa"/>
              <w:end w:w="120" w:type="dxa"/>
            </w:tcMar>
            <w:shd w:fill="F3F6FA"/>
          </w:tcPr>
          <w:p>
            <w:pPr>
              <w:spacing w:before="0" w:after="0" w:line="240" w:lineRule="auto"/>
            </w:pPr>
            <w:r>
              <w:rPr>
                <w:rFonts w:ascii="Calibri" w:hAnsi="Calibri"/>
                <w:b/>
                <w:i w:val="0"/>
                <w:color w:val="576779"/>
                <w:sz w:val="20"/>
              </w:rPr>
              <w:t>Path</w:t>
            </w:r>
          </w:p>
        </w:tc>
        <w:tc>
          <w:tcPr>
            <w:tcW w:type="dxa" w:w="4248"/>
            <w:tcMar>
              <w:top w:w="90" w:type="dxa"/>
              <w:start w:w="120" w:type="dxa"/>
              <w:bottom w:w="90" w:type="dxa"/>
              <w:end w:w="120" w:type="dxa"/>
            </w:tcMar>
            <w:shd w:fill="F3F6FA"/>
          </w:tcPr>
          <w:p>
            <w:pPr>
              <w:spacing w:before="0" w:after="0" w:line="240" w:lineRule="auto"/>
            </w:pPr>
            <w:r>
              <w:rPr>
                <w:rFonts w:ascii="Calibri" w:hAnsi="Calibri"/>
                <w:b/>
                <w:i w:val="0"/>
                <w:color w:val="576779"/>
                <w:sz w:val="20"/>
              </w:rPr>
              <w:t>Role</w:t>
            </w:r>
          </w:p>
        </w:tc>
      </w:tr>
      <w:tr>
        <w:tc>
          <w:tcPr>
            <w:tcW w:type="dxa" w:w="1728"/>
          </w:tcPr>
          <w:p>
            <w:pPr>
              <w:spacing w:before="0" w:after="0" w:line="240" w:lineRule="auto"/>
            </w:pPr>
            <w:r>
              <w:rPr>
                <w:rFonts w:ascii="Calibri" w:hAnsi="Calibri"/>
                <w:b w:val="0"/>
                <w:i w:val="0"/>
                <w:color w:val="112133"/>
                <w:sz w:val="20"/>
              </w:rPr>
              <w:t>Memory store</w:t>
            </w:r>
          </w:p>
        </w:tc>
        <w:tc>
          <w:tcPr>
            <w:tcW w:type="dxa" w:w="3384"/>
          </w:tcPr>
          <w:p>
            <w:pPr>
              <w:spacing w:before="0" w:after="0" w:line="240" w:lineRule="auto"/>
            </w:pPr>
            <w:r>
              <w:rPr>
                <w:rFonts w:ascii="Calibri" w:hAnsi="Calibri"/>
                <w:b w:val="0"/>
                <w:i w:val="0"/>
                <w:color w:val="112133"/>
                <w:sz w:val="20"/>
              </w:rPr>
              <w:t>data/memory/patient-memory.json</w:t>
            </w:r>
          </w:p>
        </w:tc>
        <w:tc>
          <w:tcPr>
            <w:tcW w:type="dxa" w:w="4248"/>
          </w:tcPr>
          <w:p>
            <w:pPr>
              <w:spacing w:before="0" w:after="0" w:line="240" w:lineRule="auto"/>
            </w:pPr>
            <w:r>
              <w:rPr>
                <w:rFonts w:ascii="Calibri" w:hAnsi="Calibri"/>
                <w:b w:val="0"/>
                <w:i w:val="0"/>
                <w:color w:val="112133"/>
                <w:sz w:val="20"/>
              </w:rPr>
              <w:t>Conversation history and memory patches. Capped history is merged and persisted per patient.</w:t>
            </w:r>
          </w:p>
        </w:tc>
      </w:tr>
      <w:tr>
        <w:tc>
          <w:tcPr>
            <w:tcW w:type="dxa" w:w="1728"/>
          </w:tcPr>
          <w:p>
            <w:pPr>
              <w:spacing w:before="0" w:after="0" w:line="240" w:lineRule="auto"/>
            </w:pPr>
            <w:r>
              <w:rPr>
                <w:rFonts w:ascii="Calibri" w:hAnsi="Calibri"/>
                <w:b w:val="0"/>
                <w:i w:val="0"/>
                <w:color w:val="112133"/>
                <w:sz w:val="20"/>
              </w:rPr>
              <w:t>Record store</w:t>
            </w:r>
          </w:p>
        </w:tc>
        <w:tc>
          <w:tcPr>
            <w:tcW w:type="dxa" w:w="3384"/>
          </w:tcPr>
          <w:p>
            <w:pPr>
              <w:spacing w:before="0" w:after="0" w:line="240" w:lineRule="auto"/>
            </w:pPr>
            <w:r>
              <w:rPr>
                <w:rFonts w:ascii="Calibri" w:hAnsi="Calibri"/>
                <w:b w:val="0"/>
                <w:i w:val="0"/>
                <w:color w:val="112133"/>
                <w:sz w:val="20"/>
              </w:rPr>
              <w:t>data/records/patient-records.json</w:t>
            </w:r>
          </w:p>
        </w:tc>
        <w:tc>
          <w:tcPr>
            <w:tcW w:type="dxa" w:w="4248"/>
          </w:tcPr>
          <w:p>
            <w:pPr>
              <w:spacing w:before="0" w:after="0" w:line="240" w:lineRule="auto"/>
            </w:pPr>
            <w:r>
              <w:rPr>
                <w:rFonts w:ascii="Calibri" w:hAnsi="Calibri"/>
                <w:b w:val="0"/>
                <w:i w:val="0"/>
                <w:color w:val="112133"/>
                <w:sz w:val="20"/>
              </w:rPr>
              <w:t>Patient records, summaries, and selected record metadata.</w:t>
            </w:r>
          </w:p>
        </w:tc>
      </w:tr>
      <w:tr>
        <w:tc>
          <w:tcPr>
            <w:tcW w:type="dxa" w:w="1728"/>
          </w:tcPr>
          <w:p>
            <w:pPr>
              <w:spacing w:before="0" w:after="0" w:line="240" w:lineRule="auto"/>
            </w:pPr>
            <w:r>
              <w:rPr>
                <w:rFonts w:ascii="Calibri" w:hAnsi="Calibri"/>
                <w:b w:val="0"/>
                <w:i w:val="0"/>
                <w:color w:val="112133"/>
                <w:sz w:val="20"/>
              </w:rPr>
              <w:t>Knowledge graph</w:t>
            </w:r>
          </w:p>
        </w:tc>
        <w:tc>
          <w:tcPr>
            <w:tcW w:type="dxa" w:w="3384"/>
          </w:tcPr>
          <w:p>
            <w:pPr>
              <w:spacing w:before="0" w:after="0" w:line="240" w:lineRule="auto"/>
            </w:pPr>
            <w:r>
              <w:rPr>
                <w:rFonts w:ascii="Calibri" w:hAnsi="Calibri"/>
                <w:b w:val="0"/>
                <w:i w:val="0"/>
                <w:color w:val="112133"/>
                <w:sz w:val="20"/>
              </w:rPr>
              <w:t>data/graph/patient-knowledge-graph.json and data/graph/patients/</w:t>
            </w:r>
          </w:p>
        </w:tc>
        <w:tc>
          <w:tcPr>
            <w:tcW w:type="dxa" w:w="4248"/>
          </w:tcPr>
          <w:p>
            <w:pPr>
              <w:spacing w:before="0" w:after="0" w:line="240" w:lineRule="auto"/>
            </w:pPr>
            <w:r>
              <w:rPr>
                <w:rFonts w:ascii="Calibri" w:hAnsi="Calibri"/>
                <w:b w:val="0"/>
                <w:i w:val="0"/>
                <w:color w:val="112133"/>
                <w:sz w:val="20"/>
              </w:rPr>
              <w:t>Structured graph facts, nodes, edges, sharded patient storage, and bundled graph support.</w:t>
            </w:r>
          </w:p>
        </w:tc>
      </w:tr>
      <w:tr>
        <w:tc>
          <w:tcPr>
            <w:tcW w:type="dxa" w:w="1728"/>
          </w:tcPr>
          <w:p>
            <w:pPr>
              <w:spacing w:before="0" w:after="0" w:line="240" w:lineRule="auto"/>
            </w:pPr>
            <w:r>
              <w:rPr>
                <w:rFonts w:ascii="Calibri" w:hAnsi="Calibri"/>
                <w:b w:val="0"/>
                <w:i w:val="0"/>
                <w:color w:val="112133"/>
                <w:sz w:val="20"/>
              </w:rPr>
              <w:t>Training state</w:t>
            </w:r>
          </w:p>
        </w:tc>
        <w:tc>
          <w:tcPr>
            <w:tcW w:type="dxa" w:w="3384"/>
          </w:tcPr>
          <w:p>
            <w:pPr>
              <w:spacing w:before="0" w:after="0" w:line="240" w:lineRule="auto"/>
            </w:pPr>
            <w:r>
              <w:rPr>
                <w:rFonts w:ascii="Calibri" w:hAnsi="Calibri"/>
                <w:b w:val="0"/>
                <w:i w:val="0"/>
                <w:color w:val="112133"/>
                <w:sz w:val="20"/>
              </w:rPr>
              <w:t>data/training/agent-training-state.json</w:t>
            </w:r>
          </w:p>
        </w:tc>
        <w:tc>
          <w:tcPr>
            <w:tcW w:type="dxa" w:w="4248"/>
          </w:tcPr>
          <w:p>
            <w:pPr>
              <w:spacing w:before="0" w:after="0" w:line="240" w:lineRule="auto"/>
            </w:pPr>
            <w:r>
              <w:rPr>
                <w:rFonts w:ascii="Calibri" w:hAnsi="Calibri"/>
                <w:b w:val="0"/>
                <w:i w:val="0"/>
                <w:color w:val="112133"/>
                <w:sz w:val="20"/>
              </w:rPr>
              <w:t>Approved examples and route-calibration data.</w:t>
            </w:r>
          </w:p>
        </w:tc>
      </w:tr>
      <w:tr>
        <w:tc>
          <w:tcPr>
            <w:tcW w:type="dxa" w:w="1728"/>
          </w:tcPr>
          <w:p>
            <w:pPr>
              <w:spacing w:before="0" w:after="0" w:line="240" w:lineRule="auto"/>
            </w:pPr>
            <w:r>
              <w:rPr>
                <w:rFonts w:ascii="Calibri" w:hAnsi="Calibri"/>
                <w:b w:val="0"/>
                <w:i w:val="0"/>
                <w:color w:val="112133"/>
                <w:sz w:val="20"/>
              </w:rPr>
              <w:t>External cache</w:t>
            </w:r>
          </w:p>
        </w:tc>
        <w:tc>
          <w:tcPr>
            <w:tcW w:type="dxa" w:w="3384"/>
          </w:tcPr>
          <w:p>
            <w:pPr>
              <w:spacing w:before="0" w:after="0" w:line="240" w:lineRule="auto"/>
            </w:pPr>
            <w:r>
              <w:rPr>
                <w:rFonts w:ascii="Calibri" w:hAnsi="Calibri"/>
                <w:b w:val="0"/>
                <w:i w:val="0"/>
                <w:color w:val="112133"/>
                <w:sz w:val="20"/>
              </w:rPr>
              <w:t>data/external/external-knowledge-cache.json</w:t>
            </w:r>
          </w:p>
        </w:tc>
        <w:tc>
          <w:tcPr>
            <w:tcW w:type="dxa" w:w="4248"/>
          </w:tcPr>
          <w:p>
            <w:pPr>
              <w:spacing w:before="0" w:after="0" w:line="240" w:lineRule="auto"/>
            </w:pPr>
            <w:r>
              <w:rPr>
                <w:rFonts w:ascii="Calibri" w:hAnsi="Calibri"/>
                <w:b w:val="0"/>
                <w:i w:val="0"/>
                <w:color w:val="112133"/>
                <w:sz w:val="20"/>
              </w:rPr>
              <w:t>Optional normalized online reference cache for later offline reuse.</w:t>
            </w:r>
          </w:p>
        </w:tc>
      </w:tr>
      <w:tr>
        <w:tc>
          <w:tcPr>
            <w:tcW w:type="dxa" w:w="1728"/>
          </w:tcPr>
          <w:p>
            <w:pPr>
              <w:spacing w:before="0" w:after="0" w:line="240" w:lineRule="auto"/>
            </w:pPr>
            <w:r>
              <w:rPr>
                <w:rFonts w:ascii="Calibri" w:hAnsi="Calibri"/>
                <w:b w:val="0"/>
                <w:i w:val="0"/>
                <w:color w:val="112133"/>
                <w:sz w:val="20"/>
              </w:rPr>
              <w:t>OneDrive mirror</w:t>
            </w:r>
          </w:p>
        </w:tc>
        <w:tc>
          <w:tcPr>
            <w:tcW w:type="dxa" w:w="3384"/>
          </w:tcPr>
          <w:p>
            <w:pPr>
              <w:spacing w:before="0" w:after="0" w:line="240" w:lineRule="auto"/>
            </w:pPr>
            <w:r>
              <w:rPr>
                <w:rFonts w:ascii="Calibri" w:hAnsi="Calibri"/>
                <w:b w:val="0"/>
                <w:i w:val="0"/>
                <w:color w:val="112133"/>
                <w:sz w:val="20"/>
              </w:rPr>
              <w:t>data/onedrive-mirror/</w:t>
            </w:r>
          </w:p>
        </w:tc>
        <w:tc>
          <w:tcPr>
            <w:tcW w:type="dxa" w:w="4248"/>
          </w:tcPr>
          <w:p>
            <w:pPr>
              <w:spacing w:before="0" w:after="0" w:line="240" w:lineRule="auto"/>
            </w:pPr>
            <w:r>
              <w:rPr>
                <w:rFonts w:ascii="Calibri" w:hAnsi="Calibri"/>
                <w:b w:val="0"/>
                <w:i w:val="0"/>
                <w:color w:val="112133"/>
                <w:sz w:val="20"/>
              </w:rPr>
              <w:t>Local mirror copy of memory, records, graph, and related files for additional persistence in a OneDrive path.</w:t>
            </w:r>
          </w:p>
        </w:tc>
      </w:tr>
    </w:tbl>
    <w:p/>
    <w:p>
      <w:pPr>
        <w:pStyle w:val="ListBullet"/>
        <w:spacing w:before="0" w:after="80" w:line="276" w:lineRule="auto"/>
      </w:pPr>
      <w:r>
        <w:rPr>
          <w:rFonts w:ascii="Calibri" w:hAnsi="Calibri"/>
          <w:b w:val="0"/>
          <w:i w:val="0"/>
          <w:color w:val="112133"/>
          <w:sz w:val="22"/>
        </w:rPr>
        <w:t>The memory and record stores use a queue-based atomic write pattern: write to a temporary file first, then replace the target file.</w:t>
      </w:r>
    </w:p>
    <w:p>
      <w:pPr>
        <w:pStyle w:val="ListBullet"/>
        <w:spacing w:before="0" w:after="80" w:line="276" w:lineRule="auto"/>
      </w:pPr>
      <w:r>
        <w:rPr>
          <w:rFonts w:ascii="Calibri" w:hAnsi="Calibri"/>
          <w:b w:val="0"/>
          <w:i w:val="0"/>
          <w:color w:val="112133"/>
          <w:sz w:val="22"/>
        </w:rPr>
        <w:t>The knowledge graph store supports both a legacy single-file graph and sharded patient graph files, plus bundled patient shards for packaged distribution.</w:t>
      </w:r>
    </w:p>
    <w:p>
      <w:pPr>
        <w:pStyle w:val="ListBullet"/>
        <w:spacing w:before="0" w:after="80" w:line="276" w:lineRule="auto"/>
      </w:pPr>
      <w:r>
        <w:rPr>
          <w:rFonts w:ascii="Calibri" w:hAnsi="Calibri"/>
          <w:b w:val="0"/>
          <w:i w:val="0"/>
          <w:color w:val="112133"/>
          <w:sz w:val="22"/>
        </w:rPr>
        <w:t>Browser localStorage is used only for light UI state such as selected theme, interface mode, and lightweight history helpers; the primary patient memory path is the local server store.</w:t>
      </w:r>
    </w:p>
    <w:p>
      <w:pPr>
        <w:pStyle w:val="ListBullet"/>
        <w:spacing w:before="0" w:after="80" w:line="276" w:lineRule="auto"/>
      </w:pPr>
      <w:r>
        <w:rPr>
          <w:rFonts w:ascii="Calibri" w:hAnsi="Calibri"/>
          <w:b w:val="0"/>
          <w:i w:val="0"/>
          <w:color w:val="112133"/>
          <w:sz w:val="22"/>
        </w:rPr>
        <w:t>LocalDataMirror synchronizes selected local data files to a OneDrive-compatible mirror directory after key operations.</w:t>
      </w:r>
    </w:p>
    <w:p>
      <w:pPr>
        <w:spacing w:before="320" w:after="160" w:line="264" w:lineRule="auto"/>
      </w:pPr>
      <w:r>
        <w:rPr>
          <w:rFonts w:ascii="Calibri" w:hAnsi="Calibri"/>
          <w:b/>
          <w:i w:val="0"/>
          <w:color w:val="2E74B5"/>
          <w:sz w:val="32"/>
        </w:rPr>
        <w:t>9. API Surface</w:t>
      </w:r>
    </w:p>
    <w:p>
      <w:pPr>
        <w:spacing w:before="0" w:after="120" w:line="276" w:lineRule="auto"/>
      </w:pPr>
      <w:r>
        <w:rPr>
          <w:rFonts w:ascii="Calibri" w:hAnsi="Calibri"/>
          <w:b w:val="0"/>
          <w:i w:val="0"/>
          <w:color w:val="112133"/>
          <w:sz w:val="22"/>
        </w:rPr>
        <w:t>The server exposes a broad API surface. Some endpoints drive the main app directly, while others expose diagnostics, governance, training, or export support.</w:t>
      </w:r>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tcMar>
              <w:top w:w="90" w:type="dxa"/>
              <w:start w:w="120" w:type="dxa"/>
              <w:bottom w:w="90" w:type="dxa"/>
              <w:end w:w="120" w:type="dxa"/>
            </w:tcMar>
            <w:shd w:fill="F3F6FA"/>
          </w:tcPr>
          <w:p>
            <w:pPr>
              <w:spacing w:before="0" w:after="0" w:line="240" w:lineRule="auto"/>
            </w:pPr>
            <w:r>
              <w:rPr>
                <w:rFonts w:ascii="Calibri" w:hAnsi="Calibri"/>
                <w:b/>
                <w:i w:val="0"/>
                <w:color w:val="576779"/>
                <w:sz w:val="21"/>
              </w:rPr>
              <w:t>Field</w:t>
            </w:r>
          </w:p>
        </w:tc>
        <w:tc>
          <w:tcPr>
            <w:tcW w:type="dxa" w:w="6480"/>
            <w:tcMar>
              <w:top w:w="90" w:type="dxa"/>
              <w:start w:w="120" w:type="dxa"/>
              <w:bottom w:w="90" w:type="dxa"/>
              <w:end w:w="120" w:type="dxa"/>
            </w:tcMar>
            <w:shd w:fill="F3F6FA"/>
          </w:tcPr>
          <w:p>
            <w:pPr>
              <w:spacing w:before="0" w:after="0" w:line="240" w:lineRule="auto"/>
            </w:pPr>
            <w:r>
              <w:rPr>
                <w:rFonts w:ascii="Calibri" w:hAnsi="Calibri"/>
                <w:b/>
                <w:i w:val="0"/>
                <w:color w:val="576779"/>
                <w:sz w:val="21"/>
              </w:rPr>
              <w:t>Value</w:t>
            </w:r>
          </w:p>
        </w:tc>
      </w:tr>
      <w:tr>
        <w:tc>
          <w:tcPr>
            <w:tcW w:type="dxa" w:w="2880"/>
          </w:tcPr>
          <w:p>
            <w:pPr>
              <w:spacing w:before="0" w:after="0" w:line="240" w:lineRule="auto"/>
            </w:pPr>
            <w:r>
              <w:rPr>
                <w:rFonts w:ascii="Calibri" w:hAnsi="Calibri"/>
                <w:b w:val="0"/>
                <w:i w:val="0"/>
                <w:color w:val="112133"/>
                <w:sz w:val="21"/>
              </w:rPr>
              <w:t>Total detected API endpoints</w:t>
            </w:r>
          </w:p>
        </w:tc>
        <w:tc>
          <w:tcPr>
            <w:tcW w:type="dxa" w:w="6480"/>
          </w:tcPr>
          <w:p>
            <w:pPr>
              <w:spacing w:before="0" w:after="0" w:line="240" w:lineRule="auto"/>
            </w:pPr>
            <w:r>
              <w:rPr>
                <w:rFonts w:ascii="Calibri" w:hAnsi="Calibri"/>
                <w:b w:val="0"/>
                <w:i w:val="0"/>
                <w:color w:val="112133"/>
                <w:sz w:val="21"/>
              </w:rPr>
              <w:t>49</w:t>
            </w:r>
          </w:p>
        </w:tc>
      </w:tr>
      <w:tr>
        <w:tc>
          <w:tcPr>
            <w:tcW w:type="dxa" w:w="2880"/>
          </w:tcPr>
          <w:p>
            <w:pPr>
              <w:spacing w:before="0" w:after="0" w:line="240" w:lineRule="auto"/>
            </w:pPr>
            <w:r>
              <w:rPr>
                <w:rFonts w:ascii="Calibri" w:hAnsi="Calibri"/>
                <w:b w:val="0"/>
                <w:i w:val="0"/>
                <w:color w:val="112133"/>
                <w:sz w:val="21"/>
              </w:rPr>
              <w:t>Runtime and health endpoints</w:t>
            </w:r>
          </w:p>
        </w:tc>
        <w:tc>
          <w:tcPr>
            <w:tcW w:type="dxa" w:w="6480"/>
          </w:tcPr>
          <w:p>
            <w:pPr>
              <w:spacing w:before="0" w:after="0" w:line="240" w:lineRule="auto"/>
            </w:pPr>
            <w:r>
              <w:rPr>
                <w:rFonts w:ascii="Calibri" w:hAnsi="Calibri"/>
                <w:b w:val="0"/>
                <w:i w:val="0"/>
                <w:color w:val="112133"/>
                <w:sz w:val="21"/>
              </w:rPr>
              <w:t>11</w:t>
            </w:r>
          </w:p>
        </w:tc>
      </w:tr>
      <w:tr>
        <w:tc>
          <w:tcPr>
            <w:tcW w:type="dxa" w:w="2880"/>
          </w:tcPr>
          <w:p>
            <w:pPr>
              <w:spacing w:before="0" w:after="0" w:line="240" w:lineRule="auto"/>
            </w:pPr>
            <w:r>
              <w:rPr>
                <w:rFonts w:ascii="Calibri" w:hAnsi="Calibri"/>
                <w:b w:val="0"/>
                <w:i w:val="0"/>
                <w:color w:val="112133"/>
                <w:sz w:val="21"/>
              </w:rPr>
              <w:t>Clinical action endpoints</w:t>
            </w:r>
          </w:p>
        </w:tc>
        <w:tc>
          <w:tcPr>
            <w:tcW w:type="dxa" w:w="6480"/>
          </w:tcPr>
          <w:p>
            <w:pPr>
              <w:spacing w:before="0" w:after="0" w:line="240" w:lineRule="auto"/>
            </w:pPr>
            <w:r>
              <w:rPr>
                <w:rFonts w:ascii="Calibri" w:hAnsi="Calibri"/>
                <w:b w:val="0"/>
                <w:i w:val="0"/>
                <w:color w:val="112133"/>
                <w:sz w:val="21"/>
              </w:rPr>
              <w:t>9</w:t>
            </w:r>
          </w:p>
        </w:tc>
      </w:tr>
      <w:tr>
        <w:tc>
          <w:tcPr>
            <w:tcW w:type="dxa" w:w="2880"/>
          </w:tcPr>
          <w:p>
            <w:pPr>
              <w:spacing w:before="0" w:after="0" w:line="240" w:lineRule="auto"/>
            </w:pPr>
            <w:r>
              <w:rPr>
                <w:rFonts w:ascii="Calibri" w:hAnsi="Calibri"/>
                <w:b w:val="0"/>
                <w:i w:val="0"/>
                <w:color w:val="112133"/>
                <w:sz w:val="21"/>
              </w:rPr>
              <w:t>Persistence endpoints</w:t>
            </w:r>
          </w:p>
        </w:tc>
        <w:tc>
          <w:tcPr>
            <w:tcW w:type="dxa" w:w="6480"/>
          </w:tcPr>
          <w:p>
            <w:pPr>
              <w:spacing w:before="0" w:after="0" w:line="240" w:lineRule="auto"/>
            </w:pPr>
            <w:r>
              <w:rPr>
                <w:rFonts w:ascii="Calibri" w:hAnsi="Calibri"/>
                <w:b w:val="0"/>
                <w:i w:val="0"/>
                <w:color w:val="112133"/>
                <w:sz w:val="21"/>
              </w:rPr>
              <w:t>7</w:t>
            </w:r>
          </w:p>
        </w:tc>
      </w:tr>
      <w:tr>
        <w:tc>
          <w:tcPr>
            <w:tcW w:type="dxa" w:w="2880"/>
          </w:tcPr>
          <w:p>
            <w:pPr>
              <w:spacing w:before="0" w:after="0" w:line="240" w:lineRule="auto"/>
            </w:pPr>
            <w:r>
              <w:rPr>
                <w:rFonts w:ascii="Calibri" w:hAnsi="Calibri"/>
                <w:b w:val="0"/>
                <w:i w:val="0"/>
                <w:color w:val="112133"/>
                <w:sz w:val="21"/>
              </w:rPr>
              <w:t>Training endpoints</w:t>
            </w:r>
          </w:p>
        </w:tc>
        <w:tc>
          <w:tcPr>
            <w:tcW w:type="dxa" w:w="6480"/>
          </w:tcPr>
          <w:p>
            <w:pPr>
              <w:spacing w:before="0" w:after="0" w:line="240" w:lineRule="auto"/>
            </w:pPr>
            <w:r>
              <w:rPr>
                <w:rFonts w:ascii="Calibri" w:hAnsi="Calibri"/>
                <w:b w:val="0"/>
                <w:i w:val="0"/>
                <w:color w:val="112133"/>
                <w:sz w:val="21"/>
              </w:rPr>
              <w:t>5</w:t>
            </w:r>
          </w:p>
        </w:tc>
      </w:tr>
      <w:tr>
        <w:tc>
          <w:tcPr>
            <w:tcW w:type="dxa" w:w="2880"/>
          </w:tcPr>
          <w:p>
            <w:pPr>
              <w:spacing w:before="0" w:after="0" w:line="240" w:lineRule="auto"/>
            </w:pPr>
            <w:r>
              <w:rPr>
                <w:rFonts w:ascii="Calibri" w:hAnsi="Calibri"/>
                <w:b w:val="0"/>
                <w:i w:val="0"/>
                <w:color w:val="112133"/>
                <w:sz w:val="21"/>
              </w:rPr>
              <w:t>Knowledge and governance endpoints</w:t>
            </w:r>
          </w:p>
        </w:tc>
        <w:tc>
          <w:tcPr>
            <w:tcW w:type="dxa" w:w="6480"/>
          </w:tcPr>
          <w:p>
            <w:pPr>
              <w:spacing w:before="0" w:after="0" w:line="240" w:lineRule="auto"/>
            </w:pPr>
            <w:r>
              <w:rPr>
                <w:rFonts w:ascii="Calibri" w:hAnsi="Calibri"/>
                <w:b w:val="0"/>
                <w:i w:val="0"/>
                <w:color w:val="112133"/>
                <w:sz w:val="21"/>
              </w:rPr>
              <w:t>17</w:t>
            </w:r>
          </w:p>
        </w:tc>
      </w:tr>
    </w:tbl>
    <w:p/>
    <w:p>
      <w:pPr>
        <w:spacing w:before="240" w:after="120" w:line="264" w:lineRule="auto"/>
      </w:pPr>
      <w:r>
        <w:rPr>
          <w:rFonts w:ascii="Calibri" w:hAnsi="Calibri"/>
          <w:b/>
          <w:i w:val="0"/>
          <w:color w:val="2E74B5"/>
          <w:sz w:val="26"/>
        </w:rPr>
        <w:t>Runtime, health, and deployment</w:t>
      </w:r>
    </w:p>
    <w:p>
      <w:pPr>
        <w:pStyle w:val="ListBullet"/>
        <w:spacing w:before="0" w:after="80" w:line="276" w:lineRule="auto"/>
      </w:pPr>
      <w:r>
        <w:rPr>
          <w:rFonts w:ascii="Calibri" w:hAnsi="Calibri"/>
          <w:b w:val="0"/>
          <w:i w:val="0"/>
          <w:color w:val="112133"/>
          <w:sz w:val="22"/>
        </w:rPr>
        <w:t>/api/agentic-runtime, /api/deployment, /api/deployment-readiness, /api/health</w:t>
      </w:r>
    </w:p>
    <w:p>
      <w:pPr>
        <w:pStyle w:val="ListBullet"/>
        <w:spacing w:before="0" w:after="80" w:line="276" w:lineRule="auto"/>
      </w:pPr>
      <w:r>
        <w:rPr>
          <w:rFonts w:ascii="Calibri" w:hAnsi="Calibri"/>
          <w:b w:val="0"/>
          <w:i w:val="0"/>
          <w:color w:val="112133"/>
          <w:sz w:val="22"/>
        </w:rPr>
        <w:t>/api/local-ai, /api/model, /api/model-health, /api/model-router</w:t>
      </w:r>
    </w:p>
    <w:p>
      <w:pPr>
        <w:pStyle w:val="ListBullet"/>
        <w:spacing w:before="0" w:after="80" w:line="276" w:lineRule="auto"/>
      </w:pPr>
      <w:r>
        <w:rPr>
          <w:rFonts w:ascii="Calibri" w:hAnsi="Calibri"/>
          <w:b w:val="0"/>
          <w:i w:val="0"/>
          <w:color w:val="112133"/>
          <w:sz w:val="22"/>
        </w:rPr>
        <w:t>/api/model-router/preview, /api/readiness, /api/ready</w:t>
      </w:r>
    </w:p>
    <w:p>
      <w:pPr>
        <w:spacing w:before="240" w:after="120" w:line="264" w:lineRule="auto"/>
      </w:pPr>
      <w:r>
        <w:rPr>
          <w:rFonts w:ascii="Calibri" w:hAnsi="Calibri"/>
          <w:b/>
          <w:i w:val="0"/>
          <w:color w:val="2E74B5"/>
          <w:sz w:val="26"/>
        </w:rPr>
        <w:t>Clinical analysis and report generation</w:t>
      </w:r>
    </w:p>
    <w:p>
      <w:pPr>
        <w:pStyle w:val="ListBullet"/>
        <w:spacing w:before="0" w:after="80" w:line="276" w:lineRule="auto"/>
      </w:pPr>
      <w:r>
        <w:rPr>
          <w:rFonts w:ascii="Calibri" w:hAnsi="Calibri"/>
          <w:b w:val="0"/>
          <w:i w:val="0"/>
          <w:color w:val="112133"/>
          <w:sz w:val="22"/>
        </w:rPr>
        <w:t>/api/analyze, /api/doctor-ready-report, /api/evidence-citations, /api/human-review</w:t>
      </w:r>
    </w:p>
    <w:p>
      <w:pPr>
        <w:pStyle w:val="ListBullet"/>
        <w:spacing w:before="0" w:after="80" w:line="276" w:lineRule="auto"/>
      </w:pPr>
      <w:r>
        <w:rPr>
          <w:rFonts w:ascii="Calibri" w:hAnsi="Calibri"/>
          <w:b w:val="0"/>
          <w:i w:val="0"/>
          <w:color w:val="112133"/>
          <w:sz w:val="22"/>
        </w:rPr>
        <w:t>/api/medicine/lookup, /api/multimodal-intake, /api/prevention-plan, /api/realtime</w:t>
      </w:r>
    </w:p>
    <w:p>
      <w:pPr>
        <w:pStyle w:val="ListBullet"/>
        <w:spacing w:before="0" w:after="80" w:line="276" w:lineRule="auto"/>
      </w:pPr>
      <w:r>
        <w:rPr>
          <w:rFonts w:ascii="Calibri" w:hAnsi="Calibri"/>
          <w:b w:val="0"/>
          <w:i w:val="0"/>
          <w:color w:val="112133"/>
          <w:sz w:val="22"/>
        </w:rPr>
        <w:t>/api/safety-triage</w:t>
      </w:r>
    </w:p>
    <w:p>
      <w:pPr>
        <w:spacing w:before="240" w:after="120" w:line="264" w:lineRule="auto"/>
      </w:pPr>
      <w:r>
        <w:rPr>
          <w:rFonts w:ascii="Calibri" w:hAnsi="Calibri"/>
          <w:b/>
          <w:i w:val="0"/>
          <w:color w:val="2E74B5"/>
          <w:sz w:val="26"/>
        </w:rPr>
        <w:t>Patient persistence and mirrors</w:t>
      </w:r>
    </w:p>
    <w:p>
      <w:pPr>
        <w:pStyle w:val="ListBullet"/>
        <w:spacing w:before="0" w:after="80" w:line="276" w:lineRule="auto"/>
      </w:pPr>
      <w:r>
        <w:rPr>
          <w:rFonts w:ascii="Calibri" w:hAnsi="Calibri"/>
          <w:b w:val="0"/>
          <w:i w:val="0"/>
          <w:color w:val="112133"/>
          <w:sz w:val="22"/>
        </w:rPr>
        <w:t>/api/knowledge-graph, /api/knowledge-graph/clear, /api/local-data-mirror, /api/memory</w:t>
      </w:r>
    </w:p>
    <w:p>
      <w:pPr>
        <w:pStyle w:val="ListBullet"/>
        <w:spacing w:before="0" w:after="80" w:line="276" w:lineRule="auto"/>
      </w:pPr>
      <w:r>
        <w:rPr>
          <w:rFonts w:ascii="Calibri" w:hAnsi="Calibri"/>
          <w:b w:val="0"/>
          <w:i w:val="0"/>
          <w:color w:val="112133"/>
          <w:sz w:val="22"/>
        </w:rPr>
        <w:t>/api/memory/clear, /api/records, /api/records/clear</w:t>
      </w:r>
    </w:p>
    <w:p>
      <w:pPr>
        <w:spacing w:before="240" w:after="120" w:line="264" w:lineRule="auto"/>
      </w:pPr>
      <w:r>
        <w:rPr>
          <w:rFonts w:ascii="Calibri" w:hAnsi="Calibri"/>
          <w:b/>
          <w:i w:val="0"/>
          <w:color w:val="2E74B5"/>
          <w:sz w:val="26"/>
        </w:rPr>
        <w:t>Training and calibration</w:t>
      </w:r>
    </w:p>
    <w:p>
      <w:pPr>
        <w:pStyle w:val="ListBullet"/>
        <w:spacing w:before="0" w:after="80" w:line="276" w:lineRule="auto"/>
      </w:pPr>
      <w:r>
        <w:rPr>
          <w:rFonts w:ascii="Calibri" w:hAnsi="Calibri"/>
          <w:b w:val="0"/>
          <w:i w:val="0"/>
          <w:color w:val="112133"/>
          <w:sz w:val="22"/>
        </w:rPr>
        <w:t>/api/training, /api/training-readiness, /api/training/evaluate, /api/training/example</w:t>
      </w:r>
    </w:p>
    <w:p>
      <w:pPr>
        <w:pStyle w:val="ListBullet"/>
        <w:spacing w:before="0" w:after="80" w:line="276" w:lineRule="auto"/>
      </w:pPr>
      <w:r>
        <w:rPr>
          <w:rFonts w:ascii="Calibri" w:hAnsi="Calibri"/>
          <w:b w:val="0"/>
          <w:i w:val="0"/>
          <w:color w:val="112133"/>
          <w:sz w:val="22"/>
        </w:rPr>
        <w:t>/api/training/train</w:t>
      </w:r>
    </w:p>
    <w:p>
      <w:pPr>
        <w:spacing w:before="240" w:after="120" w:line="264" w:lineRule="auto"/>
      </w:pPr>
      <w:r>
        <w:rPr>
          <w:rFonts w:ascii="Calibri" w:hAnsi="Calibri"/>
          <w:b/>
          <w:i w:val="0"/>
          <w:color w:val="2E74B5"/>
          <w:sz w:val="26"/>
        </w:rPr>
        <w:t>Knowledge, governance, and integrations</w:t>
      </w:r>
    </w:p>
    <w:p>
      <w:pPr>
        <w:pStyle w:val="ListBullet"/>
        <w:spacing w:before="0" w:after="80" w:line="276" w:lineRule="auto"/>
      </w:pPr>
      <w:r>
        <w:rPr>
          <w:rFonts w:ascii="Calibri" w:hAnsi="Calibri"/>
          <w:b w:val="0"/>
          <w:i w:val="0"/>
          <w:color w:val="112133"/>
          <w:sz w:val="22"/>
        </w:rPr>
        <w:t>/api/admin-trust-center, /api/advanced-capabilities, /api/backup-plan, /api/evaluation-dashboard</w:t>
      </w:r>
    </w:p>
    <w:p>
      <w:pPr>
        <w:pStyle w:val="ListBullet"/>
        <w:spacing w:before="0" w:after="80" w:line="276" w:lineRule="auto"/>
      </w:pPr>
      <w:r>
        <w:rPr>
          <w:rFonts w:ascii="Calibri" w:hAnsi="Calibri"/>
          <w:b w:val="0"/>
          <w:i w:val="0"/>
          <w:color w:val="112133"/>
          <w:sz w:val="22"/>
        </w:rPr>
        <w:t>/api/external-knowledge, /api/external-knowledge/clear, /api/fhir, /api/fhir-connector</w:t>
      </w:r>
    </w:p>
    <w:p>
      <w:pPr>
        <w:pStyle w:val="ListBullet"/>
        <w:spacing w:before="0" w:after="80" w:line="276" w:lineRule="auto"/>
      </w:pPr>
      <w:r>
        <w:rPr>
          <w:rFonts w:ascii="Calibri" w:hAnsi="Calibri"/>
          <w:b w:val="0"/>
          <w:i w:val="0"/>
          <w:color w:val="112133"/>
          <w:sz w:val="22"/>
        </w:rPr>
        <w:t>/api/governance, /api/knowledge, /api/model-quality, /api/model-quality/evaluate</w:t>
      </w:r>
    </w:p>
    <w:p>
      <w:pPr>
        <w:pStyle w:val="ListBullet"/>
        <w:spacing w:before="0" w:after="80" w:line="276" w:lineRule="auto"/>
      </w:pPr>
      <w:r>
        <w:rPr>
          <w:rFonts w:ascii="Calibri" w:hAnsi="Calibri"/>
          <w:b w:val="0"/>
          <w:i w:val="0"/>
          <w:color w:val="112133"/>
          <w:sz w:val="22"/>
        </w:rPr>
        <w:t>/api/offline-pack-manager, /api/offline-packs, /api/report-templates, /api/trusted-sources</w:t>
      </w:r>
    </w:p>
    <w:p>
      <w:pPr>
        <w:pStyle w:val="ListBullet"/>
        <w:spacing w:before="0" w:after="80" w:line="276" w:lineRule="auto"/>
      </w:pPr>
      <w:r>
        <w:rPr>
          <w:rFonts w:ascii="Calibri" w:hAnsi="Calibri"/>
          <w:b w:val="0"/>
          <w:i w:val="0"/>
          <w:color w:val="112133"/>
          <w:sz w:val="22"/>
        </w:rPr>
        <w:t>/api/trusted-sources/plan</w:t>
      </w:r>
    </w:p>
    <w:p>
      <w:pPr>
        <w:spacing w:before="320" w:after="160" w:line="264" w:lineRule="auto"/>
      </w:pPr>
      <w:r>
        <w:rPr>
          <w:rFonts w:ascii="Calibri" w:hAnsi="Calibri"/>
          <w:b/>
          <w:i w:val="0"/>
          <w:color w:val="2E74B5"/>
          <w:sz w:val="32"/>
        </w:rPr>
        <w:t>10. Frontend Application Model</w:t>
      </w:r>
    </w:p>
    <w:p>
      <w:pPr>
        <w:spacing w:before="0" w:after="120" w:line="276" w:lineRule="auto"/>
      </w:pPr>
      <w:r>
        <w:rPr>
          <w:rFonts w:ascii="Calibri" w:hAnsi="Calibri"/>
          <w:b w:val="0"/>
          <w:i w:val="0"/>
          <w:color w:val="112133"/>
          <w:sz w:val="22"/>
        </w:rPr>
        <w:t>The frontend is implemented in public/app.js and public/index.html as a large vanilla JavaScript single-page application. It does not depend on a heavyweight frontend framework. That choice keeps the installation simple and makes GitHub/static packaging easier, but it also means UI state management is hand-built.</w:t>
      </w:r>
    </w:p>
    <w:p>
      <w:pPr>
        <w:pStyle w:val="ListBullet"/>
        <w:spacing w:before="0" w:after="80" w:line="276" w:lineRule="auto"/>
      </w:pPr>
      <w:r>
        <w:rPr>
          <w:rFonts w:ascii="Calibri" w:hAnsi="Calibri"/>
          <w:b w:val="0"/>
          <w:i w:val="0"/>
          <w:color w:val="112133"/>
          <w:sz w:val="22"/>
        </w:rPr>
        <w:t>Interface routing is handled through hash and history state helpers, allowing direct tab navigation such as General, Specialist, Atlas, Vitals, Medicine, Labs, Wellness, Visits, Safety, Records, Insurance, Summary, Profile, and Guide.</w:t>
      </w:r>
    </w:p>
    <w:p>
      <w:pPr>
        <w:pStyle w:val="ListBullet"/>
        <w:spacing w:before="0" w:after="80" w:line="276" w:lineRule="auto"/>
      </w:pPr>
      <w:r>
        <w:rPr>
          <w:rFonts w:ascii="Calibri" w:hAnsi="Calibri"/>
          <w:b w:val="0"/>
          <w:i w:val="0"/>
          <w:color w:val="112133"/>
          <w:sz w:val="22"/>
        </w:rPr>
        <w:t>The UI supports guided and expert modes, per-tab workspace subtabs, a compact command hub, multilingual translation, theme switching, and installed-app behavior.</w:t>
      </w:r>
    </w:p>
    <w:p>
      <w:pPr>
        <w:pStyle w:val="ListBullet"/>
        <w:spacing w:before="0" w:after="80" w:line="276" w:lineRule="auto"/>
      </w:pPr>
      <w:r>
        <w:rPr>
          <w:rFonts w:ascii="Calibri" w:hAnsi="Calibri"/>
          <w:b w:val="0"/>
          <w:i w:val="0"/>
          <w:color w:val="112133"/>
          <w:sz w:val="22"/>
        </w:rPr>
        <w:t>Realtime mode uses /api/realtime for low-latency preview while full runs use /api/analyze for persistence and post-processing.</w:t>
      </w:r>
    </w:p>
    <w:p>
      <w:pPr>
        <w:pStyle w:val="ListBullet"/>
        <w:spacing w:before="0" w:after="80" w:line="276" w:lineRule="auto"/>
      </w:pPr>
      <w:r>
        <w:rPr>
          <w:rFonts w:ascii="Calibri" w:hAnsi="Calibri"/>
          <w:b w:val="0"/>
          <w:i w:val="0"/>
          <w:color w:val="112133"/>
          <w:sz w:val="22"/>
        </w:rPr>
        <w:t>The Guide system includes both a slide guide and an optional chunked HD video loader path for larger walkthrough assets.</w:t>
      </w:r>
    </w:p>
    <w:p>
      <w:pPr>
        <w:pStyle w:val="ListBullet"/>
        <w:spacing w:before="0" w:after="80" w:line="276" w:lineRule="auto"/>
      </w:pPr>
      <w:r>
        <w:rPr>
          <w:rFonts w:ascii="Calibri" w:hAnsi="Calibri"/>
          <w:b w:val="0"/>
          <w:i w:val="0"/>
          <w:color w:val="112133"/>
          <w:sz w:val="22"/>
        </w:rPr>
        <w:t>The service worker and web manifest make the app installable as a PWA, enabling splash/loading behavior and offline shell caching.</w:t>
      </w:r>
    </w:p>
    <w:p>
      <w:pPr>
        <w:spacing w:before="320" w:after="160" w:line="264" w:lineRule="auto"/>
      </w:pPr>
      <w:r>
        <w:rPr>
          <w:rFonts w:ascii="Calibri" w:hAnsi="Calibri"/>
          <w:b/>
          <w:i w:val="0"/>
          <w:color w:val="2E74B5"/>
          <w:sz w:val="32"/>
        </w:rPr>
        <w:t>11. Offline vs Online Operation</w:t>
      </w:r>
    </w:p>
    <w:p>
      <w:pPr>
        <w:spacing w:before="0" w:after="120" w:line="276" w:lineRule="auto"/>
      </w:pPr>
      <w:r>
        <w:rPr>
          <w:rFonts w:ascii="Calibri" w:hAnsi="Calibri"/>
          <w:b w:val="0"/>
          <w:i w:val="0"/>
          <w:color w:val="112133"/>
          <w:sz w:val="22"/>
        </w:rPr>
        <w:t>The core design target is parity of behavior across offline and online modes. Online mode adds optional knowledge or rewrite stages, but the same local engine remains in charge.</w:t>
      </w:r>
    </w:p>
    <w:tbl>
      <w:tblPr>
        <w:tblStyle w:val="TableGrid"/>
        <w:tblW w:type="auto" w:w="0"/>
        <w:tblLayout w:type="fixed"/>
        <w:tblLook w:firstColumn="1" w:firstRow="1" w:lastColumn="0" w:lastRow="0" w:noHBand="0" w:noVBand="1" w:val="04A0"/>
      </w:tblPr>
      <w:tblGrid>
        <w:gridCol w:w="1584"/>
        <w:gridCol w:w="3744"/>
        <w:gridCol w:w="4032"/>
      </w:tblGrid>
      <w:tr>
        <w:trPr>
          <w:tblHeader w:val="true"/>
        </w:trPr>
        <w:tc>
          <w:tcPr>
            <w:tcW w:type="dxa" w:w="1584"/>
            <w:tcMar>
              <w:top w:w="90" w:type="dxa"/>
              <w:start w:w="120" w:type="dxa"/>
              <w:bottom w:w="90" w:type="dxa"/>
              <w:end w:w="120" w:type="dxa"/>
            </w:tcMar>
            <w:shd w:fill="F3F6FA"/>
          </w:tcPr>
          <w:p>
            <w:pPr>
              <w:spacing w:before="0" w:after="0" w:line="240" w:lineRule="auto"/>
            </w:pPr>
            <w:r>
              <w:rPr>
                <w:rFonts w:ascii="Calibri" w:hAnsi="Calibri"/>
                <w:b/>
                <w:i w:val="0"/>
                <w:color w:val="576779"/>
                <w:sz w:val="20"/>
              </w:rPr>
              <w:t>Mode</w:t>
            </w:r>
          </w:p>
        </w:tc>
        <w:tc>
          <w:tcPr>
            <w:tcW w:type="dxa" w:w="3744"/>
            <w:tcMar>
              <w:top w:w="90" w:type="dxa"/>
              <w:start w:w="120" w:type="dxa"/>
              <w:bottom w:w="90" w:type="dxa"/>
              <w:end w:w="120" w:type="dxa"/>
            </w:tcMar>
            <w:shd w:fill="F3F6FA"/>
          </w:tcPr>
          <w:p>
            <w:pPr>
              <w:spacing w:before="0" w:after="0" w:line="240" w:lineRule="auto"/>
            </w:pPr>
            <w:r>
              <w:rPr>
                <w:rFonts w:ascii="Calibri" w:hAnsi="Calibri"/>
                <w:b/>
                <w:i w:val="0"/>
                <w:color w:val="576779"/>
                <w:sz w:val="20"/>
              </w:rPr>
              <w:t>What stays the same</w:t>
            </w:r>
          </w:p>
        </w:tc>
        <w:tc>
          <w:tcPr>
            <w:tcW w:type="dxa" w:w="4032"/>
            <w:tcMar>
              <w:top w:w="90" w:type="dxa"/>
              <w:start w:w="120" w:type="dxa"/>
              <w:bottom w:w="90" w:type="dxa"/>
              <w:end w:w="120" w:type="dxa"/>
            </w:tcMar>
            <w:shd w:fill="F3F6FA"/>
          </w:tcPr>
          <w:p>
            <w:pPr>
              <w:spacing w:before="0" w:after="0" w:line="240" w:lineRule="auto"/>
            </w:pPr>
            <w:r>
              <w:rPr>
                <w:rFonts w:ascii="Calibri" w:hAnsi="Calibri"/>
                <w:b/>
                <w:i w:val="0"/>
                <w:color w:val="576779"/>
                <w:sz w:val="20"/>
              </w:rPr>
              <w:t>What can be added</w:t>
            </w:r>
          </w:p>
        </w:tc>
      </w:tr>
      <w:tr>
        <w:tc>
          <w:tcPr>
            <w:tcW w:type="dxa" w:w="1584"/>
          </w:tcPr>
          <w:p>
            <w:pPr>
              <w:spacing w:before="0" w:after="0" w:line="240" w:lineRule="auto"/>
            </w:pPr>
            <w:r>
              <w:rPr>
                <w:rFonts w:ascii="Calibri" w:hAnsi="Calibri"/>
                <w:b w:val="0"/>
                <w:i w:val="0"/>
                <w:color w:val="112133"/>
                <w:sz w:val="20"/>
              </w:rPr>
              <w:t>Offline</w:t>
            </w:r>
          </w:p>
        </w:tc>
        <w:tc>
          <w:tcPr>
            <w:tcW w:type="dxa" w:w="3744"/>
          </w:tcPr>
          <w:p>
            <w:pPr>
              <w:spacing w:before="0" w:after="0" w:line="240" w:lineRule="auto"/>
            </w:pPr>
            <w:r>
              <w:rPr>
                <w:rFonts w:ascii="Calibri" w:hAnsi="Calibri"/>
                <w:b w:val="0"/>
                <w:i w:val="0"/>
                <w:color w:val="112133"/>
                <w:sz w:val="20"/>
              </w:rPr>
              <w:t>The same Node API, health engine, specialist runners, local knowledge, local storage, and guardrails remain active.</w:t>
            </w:r>
          </w:p>
        </w:tc>
        <w:tc>
          <w:tcPr>
            <w:tcW w:type="dxa" w:w="4032"/>
          </w:tcPr>
          <w:p>
            <w:pPr>
              <w:spacing w:before="0" w:after="0" w:line="240" w:lineRule="auto"/>
            </w:pPr>
            <w:r>
              <w:rPr>
                <w:rFonts w:ascii="Calibri" w:hAnsi="Calibri"/>
                <w:b w:val="0"/>
                <w:i w:val="0"/>
                <w:color w:val="112133"/>
                <w:sz w:val="20"/>
              </w:rPr>
              <w:t>No internet is required. The system uses only local retrieval, local persistence, and optional local LLM runtimes.</w:t>
            </w:r>
          </w:p>
        </w:tc>
      </w:tr>
      <w:tr>
        <w:tc>
          <w:tcPr>
            <w:tcW w:type="dxa" w:w="1584"/>
          </w:tcPr>
          <w:p>
            <w:pPr>
              <w:spacing w:before="0" w:after="0" w:line="240" w:lineRule="auto"/>
            </w:pPr>
            <w:r>
              <w:rPr>
                <w:rFonts w:ascii="Calibri" w:hAnsi="Calibri"/>
                <w:b w:val="0"/>
                <w:i w:val="0"/>
                <w:color w:val="112133"/>
                <w:sz w:val="20"/>
              </w:rPr>
              <w:t>Online-ready local safe core</w:t>
            </w:r>
          </w:p>
        </w:tc>
        <w:tc>
          <w:tcPr>
            <w:tcW w:type="dxa" w:w="3744"/>
          </w:tcPr>
          <w:p>
            <w:pPr>
              <w:spacing w:before="0" w:after="0" w:line="240" w:lineRule="auto"/>
            </w:pPr>
            <w:r>
              <w:rPr>
                <w:rFonts w:ascii="Calibri" w:hAnsi="Calibri"/>
                <w:b w:val="0"/>
                <w:i w:val="0"/>
                <w:color w:val="112133"/>
                <w:sz w:val="20"/>
              </w:rPr>
              <w:t>The local deterministic path still runs first and still owns persistence and safety boundaries.</w:t>
            </w:r>
          </w:p>
        </w:tc>
        <w:tc>
          <w:tcPr>
            <w:tcW w:type="dxa" w:w="4032"/>
          </w:tcPr>
          <w:p>
            <w:pPr>
              <w:spacing w:before="0" w:after="0" w:line="240" w:lineRule="auto"/>
            </w:pPr>
            <w:r>
              <w:rPr>
                <w:rFonts w:ascii="Calibri" w:hAnsi="Calibri"/>
                <w:b w:val="0"/>
                <w:i w:val="0"/>
                <w:color w:val="112133"/>
                <w:sz w:val="20"/>
              </w:rPr>
              <w:t>Approved external reference retrieval and optional cloud rewrite paths can be enabled through environment variables.</w:t>
            </w:r>
          </w:p>
        </w:tc>
      </w:tr>
      <w:tr>
        <w:tc>
          <w:tcPr>
            <w:tcW w:type="dxa" w:w="1584"/>
          </w:tcPr>
          <w:p>
            <w:pPr>
              <w:spacing w:before="0" w:after="0" w:line="240" w:lineRule="auto"/>
            </w:pPr>
            <w:r>
              <w:rPr>
                <w:rFonts w:ascii="Calibri" w:hAnsi="Calibri"/>
                <w:b w:val="0"/>
                <w:i w:val="0"/>
                <w:color w:val="112133"/>
                <w:sz w:val="20"/>
              </w:rPr>
              <w:t>Hybrid</w:t>
            </w:r>
          </w:p>
        </w:tc>
        <w:tc>
          <w:tcPr>
            <w:tcW w:type="dxa" w:w="3744"/>
          </w:tcPr>
          <w:p>
            <w:pPr>
              <w:spacing w:before="0" w:after="0" w:line="240" w:lineRule="auto"/>
            </w:pPr>
            <w:r>
              <w:rPr>
                <w:rFonts w:ascii="Calibri" w:hAnsi="Calibri"/>
                <w:b w:val="0"/>
                <w:i w:val="0"/>
                <w:color w:val="112133"/>
                <w:sz w:val="20"/>
              </w:rPr>
              <w:t>The planner, route selection, memory, records, graph updates, and guardrails remain local.</w:t>
            </w:r>
          </w:p>
        </w:tc>
        <w:tc>
          <w:tcPr>
            <w:tcW w:type="dxa" w:w="4032"/>
          </w:tcPr>
          <w:p>
            <w:pPr>
              <w:spacing w:before="0" w:after="0" w:line="240" w:lineRule="auto"/>
            </w:pPr>
            <w:r>
              <w:rPr>
                <w:rFonts w:ascii="Calibri" w:hAnsi="Calibri"/>
                <w:b w:val="0"/>
                <w:i w:val="0"/>
                <w:color w:val="112133"/>
                <w:sz w:val="20"/>
              </w:rPr>
              <w:t>Cloud or remote models may handle complex rewrites or second-pass reasoning when policy allows it.</w:t>
            </w:r>
          </w:p>
        </w:tc>
      </w:tr>
    </w:tbl>
    <w:p/>
    <w:p>
      <w:pPr>
        <w:spacing w:before="0" w:after="120" w:line="276" w:lineRule="auto"/>
      </w:pPr>
      <w:r>
        <w:rPr>
          <w:rFonts w:ascii="Calibri" w:hAnsi="Calibri"/>
          <w:b w:val="0"/>
          <w:i w:val="0"/>
          <w:color w:val="112133"/>
          <w:sz w:val="22"/>
        </w:rPr>
        <w:t>Connectivity policy is implemented in src/runtimeConnectivity.js. It determines whether a remote endpoint is usable for the current run, whether forced-offline mode is active, and whether only local endpoints are allowed.</w:t>
      </w:r>
    </w:p>
    <w:p>
      <w:pPr>
        <w:spacing w:before="320" w:after="160" w:line="264" w:lineRule="auto"/>
      </w:pPr>
      <w:r>
        <w:rPr>
          <w:rFonts w:ascii="Calibri" w:hAnsi="Calibri"/>
          <w:b/>
          <w:i w:val="0"/>
          <w:color w:val="2E74B5"/>
          <w:sz w:val="32"/>
        </w:rPr>
        <w:t>12. Safety and Governance</w:t>
      </w:r>
    </w:p>
    <w:p>
      <w:pPr>
        <w:spacing w:before="0" w:after="120" w:line="276" w:lineRule="auto"/>
      </w:pPr>
      <w:r>
        <w:rPr>
          <w:rFonts w:ascii="Calibri" w:hAnsi="Calibri"/>
          <w:b w:val="0"/>
          <w:i w:val="0"/>
          <w:color w:val="112133"/>
          <w:sz w:val="22"/>
        </w:rPr>
        <w:t>Safety is not a final banner added only in the UI. It is embedded across the repository: rule-based risk scoring, specialist route boundaries, retrieval scope control, final response guardrails, trusted source planning, and governance metadata.</w:t>
      </w:r>
    </w:p>
    <w:p>
      <w:pPr>
        <w:pStyle w:val="ListBullet"/>
        <w:spacing w:before="0" w:after="80" w:line="276" w:lineRule="auto"/>
      </w:pPr>
      <w:r>
        <w:rPr>
          <w:rFonts w:ascii="Calibri" w:hAnsi="Calibri"/>
          <w:b w:val="0"/>
          <w:i w:val="0"/>
          <w:color w:val="112133"/>
          <w:sz w:val="22"/>
        </w:rPr>
        <w:t>applyGuardrails() in src/healthEngine.js blocks diagnosis wording, dosage instructions, prescribing language, and certain categories of unsupported action claims.</w:t>
      </w:r>
    </w:p>
    <w:p>
      <w:pPr>
        <w:pStyle w:val="ListBullet"/>
        <w:spacing w:before="0" w:after="80" w:line="276" w:lineRule="auto"/>
      </w:pPr>
      <w:r>
        <w:rPr>
          <w:rFonts w:ascii="Calibri" w:hAnsi="Calibri"/>
          <w:b w:val="0"/>
          <w:i w:val="0"/>
          <w:color w:val="112133"/>
          <w:sz w:val="22"/>
        </w:rPr>
        <w:t>advancedCapabilityEngine.js contains urgent-signal rules for chest pain, stroke, severe allergy, fainting, dangerous bleeding, mental-health crisis, very high BP, and high-fever risk.</w:t>
      </w:r>
    </w:p>
    <w:p>
      <w:pPr>
        <w:pStyle w:val="ListBullet"/>
        <w:spacing w:before="0" w:after="80" w:line="276" w:lineRule="auto"/>
      </w:pPr>
      <w:r>
        <w:rPr>
          <w:rFonts w:ascii="Calibri" w:hAnsi="Calibri"/>
          <w:b w:val="0"/>
          <w:i w:val="0"/>
          <w:color w:val="112133"/>
          <w:sz w:val="22"/>
        </w:rPr>
        <w:t>productIntelligence.js documents trusted source connectors, offline packs, report templates, quality metrics, governance expectations, and FHIR-readiness boundaries.</w:t>
      </w:r>
    </w:p>
    <w:p>
      <w:pPr>
        <w:pStyle w:val="ListBullet"/>
        <w:spacing w:before="0" w:after="80" w:line="276" w:lineRule="auto"/>
      </w:pPr>
      <w:r>
        <w:rPr>
          <w:rFonts w:ascii="Calibri" w:hAnsi="Calibri"/>
          <w:b w:val="0"/>
          <w:i w:val="0"/>
          <w:color w:val="112133"/>
          <w:sz w:val="22"/>
        </w:rPr>
        <w:t>The offline repository build process explicitly states that copyrighted full textbooks or clinical guidelines should not be bundled without license approval.</w:t>
      </w:r>
    </w:p>
    <w:p>
      <w:pPr>
        <w:pStyle w:val="ListBullet"/>
        <w:spacing w:before="0" w:after="80" w:line="276" w:lineRule="auto"/>
      </w:pPr>
      <w:r>
        <w:rPr>
          <w:rFonts w:ascii="Calibri" w:hAnsi="Calibri"/>
          <w:b w:val="0"/>
          <w:i w:val="0"/>
          <w:color w:val="112133"/>
          <w:sz w:val="22"/>
        </w:rPr>
        <w:t>The training subsystem is intentionally restricted to approved feedback calibration and explicitly avoids using PHI as free-form training data.</w:t>
      </w:r>
    </w:p>
    <w:p>
      <w:pPr>
        <w:spacing w:before="320" w:after="160" w:line="264" w:lineRule="auto"/>
      </w:pPr>
      <w:r>
        <w:rPr>
          <w:rFonts w:ascii="Calibri" w:hAnsi="Calibri"/>
          <w:b/>
          <w:i w:val="0"/>
          <w:color w:val="2E74B5"/>
          <w:sz w:val="32"/>
        </w:rPr>
        <w:t>13. Build, Run, and Release Workflow</w:t>
      </w:r>
    </w:p>
    <w:p>
      <w:pPr>
        <w:spacing w:before="0" w:after="120" w:line="276" w:lineRule="auto"/>
      </w:pPr>
      <w:r>
        <w:rPr>
          <w:rFonts w:ascii="Calibri" w:hAnsi="Calibri"/>
          <w:b w:val="0"/>
          <w:i w:val="0"/>
          <w:color w:val="112133"/>
          <w:sz w:val="22"/>
        </w:rPr>
        <w:t>The repository includes a clear set of commands for local execution, syntax validation, smoke testing, offline repository rebuilds, local LLM checks, and GitHub packaging.</w:t>
      </w:r>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tcMar>
              <w:top w:w="90" w:type="dxa"/>
              <w:start w:w="120" w:type="dxa"/>
              <w:bottom w:w="90" w:type="dxa"/>
              <w:end w:w="120" w:type="dxa"/>
            </w:tcMar>
            <w:shd w:fill="F3F6FA"/>
          </w:tcPr>
          <w:p>
            <w:pPr>
              <w:spacing w:before="0" w:after="0" w:line="240" w:lineRule="auto"/>
            </w:pPr>
            <w:r>
              <w:rPr>
                <w:rFonts w:ascii="Calibri" w:hAnsi="Calibri"/>
                <w:b/>
                <w:i w:val="0"/>
                <w:color w:val="576779"/>
                <w:sz w:val="21"/>
              </w:rPr>
              <w:t>Field</w:t>
            </w:r>
          </w:p>
        </w:tc>
        <w:tc>
          <w:tcPr>
            <w:tcW w:type="dxa" w:w="6480"/>
            <w:tcMar>
              <w:top w:w="90" w:type="dxa"/>
              <w:start w:w="120" w:type="dxa"/>
              <w:bottom w:w="90" w:type="dxa"/>
              <w:end w:w="120" w:type="dxa"/>
            </w:tcMar>
            <w:shd w:fill="F3F6FA"/>
          </w:tcPr>
          <w:p>
            <w:pPr>
              <w:spacing w:before="0" w:after="0" w:line="240" w:lineRule="auto"/>
            </w:pPr>
            <w:r>
              <w:rPr>
                <w:rFonts w:ascii="Calibri" w:hAnsi="Calibri"/>
                <w:b/>
                <w:i w:val="0"/>
                <w:color w:val="576779"/>
                <w:sz w:val="21"/>
              </w:rPr>
              <w:t>Value</w:t>
            </w:r>
          </w:p>
        </w:tc>
      </w:tr>
      <w:tr>
        <w:tc>
          <w:tcPr>
            <w:tcW w:type="dxa" w:w="2880"/>
          </w:tcPr>
          <w:p>
            <w:pPr>
              <w:spacing w:before="0" w:after="0" w:line="240" w:lineRule="auto"/>
            </w:pPr>
            <w:r>
              <w:rPr>
                <w:rFonts w:ascii="Calibri" w:hAnsi="Calibri"/>
                <w:b w:val="0"/>
                <w:i w:val="0"/>
                <w:color w:val="112133"/>
                <w:sz w:val="21"/>
              </w:rPr>
              <w:t>start</w:t>
            </w:r>
          </w:p>
        </w:tc>
        <w:tc>
          <w:tcPr>
            <w:tcW w:type="dxa" w:w="6480"/>
          </w:tcPr>
          <w:p>
            <w:pPr>
              <w:spacing w:before="0" w:after="0" w:line="240" w:lineRule="auto"/>
            </w:pPr>
            <w:r>
              <w:rPr>
                <w:rFonts w:ascii="Calibri" w:hAnsi="Calibri"/>
                <w:b w:val="0"/>
                <w:i w:val="0"/>
                <w:color w:val="112133"/>
                <w:sz w:val="21"/>
              </w:rPr>
              <w:t>node server.js</w:t>
            </w:r>
          </w:p>
        </w:tc>
      </w:tr>
      <w:tr>
        <w:tc>
          <w:tcPr>
            <w:tcW w:type="dxa" w:w="2880"/>
          </w:tcPr>
          <w:p>
            <w:pPr>
              <w:spacing w:before="0" w:after="0" w:line="240" w:lineRule="auto"/>
            </w:pPr>
            <w:r>
              <w:rPr>
                <w:rFonts w:ascii="Calibri" w:hAnsi="Calibri"/>
                <w:b w:val="0"/>
                <w:i w:val="0"/>
                <w:color w:val="112133"/>
                <w:sz w:val="21"/>
              </w:rPr>
              <w:t>check</w:t>
            </w:r>
          </w:p>
        </w:tc>
        <w:tc>
          <w:tcPr>
            <w:tcW w:type="dxa" w:w="6480"/>
          </w:tcPr>
          <w:p>
            <w:pPr>
              <w:spacing w:before="0" w:after="0" w:line="240" w:lineRule="auto"/>
            </w:pPr>
            <w:r>
              <w:rPr>
                <w:rFonts w:ascii="Calibri" w:hAnsi="Calibri"/>
                <w:b w:val="0"/>
                <w:i w:val="0"/>
                <w:color w:val="112133"/>
                <w:sz w:val="21"/>
              </w:rPr>
              <w:t>node --check server.js &amp;&amp; node --check src/healthEngine.js &amp;&amp; node --check src/memoryStore.js &amp;&amp; node --check src/recordStore.js &amp;&amp; node --check src/knowledgeGraphStore.js &amp;&amp; node --check src/localDataMirror.js &amp;&amp; node --check src/trainingEngine.js &amp;&amp; node --check src/offlineMedicalDatabase.js &amp;&amp; node --check src/offlineKnowledgeEnrichment.js &amp;&amp; node --check src/localAiEngine.js &amp;&amp; node --check src/hybridModelRouter.js &amp;&amp; node --check src/agenticRuntime.js &amp;&amp; node --check src/externalKnowledgeStore.js &amp;&amp; node --check src/medicineLookupStore.js &amp;&amp; node --check src/productIntelligence.js &amp;&amp; node --check src/advancedCapabilityEngine.js &amp;&amp; node --check public/app.js &amp;&amp; node --check public/sw.js &amp;&amp; node --check scripts/smoke-test.js &amp;&amp; node --check scripts/deployment-check.js &amp;&amp; node --check scripts/model-file-check.js &amp;&amp; node --check scripts/github-package-check.js &amp;&amp; node --check scripts/build-offline-repository.js &amp;&amp; node --check scripts/build-guide-streaming-assets.js &amp;&amp; node scripts/smoke-test.js</w:t>
            </w:r>
          </w:p>
        </w:tc>
      </w:tr>
      <w:tr>
        <w:tc>
          <w:tcPr>
            <w:tcW w:type="dxa" w:w="2880"/>
          </w:tcPr>
          <w:p>
            <w:pPr>
              <w:spacing w:before="0" w:after="0" w:line="240" w:lineRule="auto"/>
            </w:pPr>
            <w:r>
              <w:rPr>
                <w:rFonts w:ascii="Calibri" w:hAnsi="Calibri"/>
                <w:b w:val="0"/>
                <w:i w:val="0"/>
                <w:color w:val="112133"/>
                <w:sz w:val="21"/>
              </w:rPr>
              <w:t>test</w:t>
            </w:r>
          </w:p>
        </w:tc>
        <w:tc>
          <w:tcPr>
            <w:tcW w:type="dxa" w:w="6480"/>
          </w:tcPr>
          <w:p>
            <w:pPr>
              <w:spacing w:before="0" w:after="0" w:line="240" w:lineRule="auto"/>
            </w:pPr>
            <w:r>
              <w:rPr>
                <w:rFonts w:ascii="Calibri" w:hAnsi="Calibri"/>
                <w:b w:val="0"/>
                <w:i w:val="0"/>
                <w:color w:val="112133"/>
                <w:sz w:val="21"/>
              </w:rPr>
              <w:t>node scripts/smoke-test.js</w:t>
            </w:r>
          </w:p>
        </w:tc>
      </w:tr>
      <w:tr>
        <w:tc>
          <w:tcPr>
            <w:tcW w:type="dxa" w:w="2880"/>
          </w:tcPr>
          <w:p>
            <w:pPr>
              <w:spacing w:before="0" w:after="0" w:line="240" w:lineRule="auto"/>
            </w:pPr>
            <w:r>
              <w:rPr>
                <w:rFonts w:ascii="Calibri" w:hAnsi="Calibri"/>
                <w:b w:val="0"/>
                <w:i w:val="0"/>
                <w:color w:val="112133"/>
                <w:sz w:val="21"/>
              </w:rPr>
              <w:t>llm:check</w:t>
            </w:r>
          </w:p>
        </w:tc>
        <w:tc>
          <w:tcPr>
            <w:tcW w:type="dxa" w:w="6480"/>
          </w:tcPr>
          <w:p>
            <w:pPr>
              <w:spacing w:before="0" w:after="0" w:line="240" w:lineRule="auto"/>
            </w:pPr>
            <w:r>
              <w:rPr>
                <w:rFonts w:ascii="Calibri" w:hAnsi="Calibri"/>
                <w:b w:val="0"/>
                <w:i w:val="0"/>
                <w:color w:val="112133"/>
                <w:sz w:val="21"/>
              </w:rPr>
              <w:t>node scripts/local-llm-runtime-check.js</w:t>
            </w:r>
          </w:p>
        </w:tc>
      </w:tr>
      <w:tr>
        <w:tc>
          <w:tcPr>
            <w:tcW w:type="dxa" w:w="2880"/>
          </w:tcPr>
          <w:p>
            <w:pPr>
              <w:spacing w:before="0" w:after="0" w:line="240" w:lineRule="auto"/>
            </w:pPr>
            <w:r>
              <w:rPr>
                <w:rFonts w:ascii="Calibri" w:hAnsi="Calibri"/>
                <w:b w:val="0"/>
                <w:i w:val="0"/>
                <w:color w:val="112133"/>
                <w:sz w:val="21"/>
              </w:rPr>
              <w:t>offline:build</w:t>
            </w:r>
          </w:p>
        </w:tc>
        <w:tc>
          <w:tcPr>
            <w:tcW w:type="dxa" w:w="6480"/>
          </w:tcPr>
          <w:p>
            <w:pPr>
              <w:spacing w:before="0" w:after="0" w:line="240" w:lineRule="auto"/>
            </w:pPr>
            <w:r>
              <w:rPr>
                <w:rFonts w:ascii="Calibri" w:hAnsi="Calibri"/>
                <w:b w:val="0"/>
                <w:i w:val="0"/>
                <w:color w:val="112133"/>
                <w:sz w:val="21"/>
              </w:rPr>
              <w:t>node scripts/build-offline-repository.js</w:t>
            </w:r>
          </w:p>
        </w:tc>
      </w:tr>
      <w:tr>
        <w:tc>
          <w:tcPr>
            <w:tcW w:type="dxa" w:w="2880"/>
          </w:tcPr>
          <w:p>
            <w:pPr>
              <w:spacing w:before="0" w:after="0" w:line="240" w:lineRule="auto"/>
            </w:pPr>
            <w:r>
              <w:rPr>
                <w:rFonts w:ascii="Calibri" w:hAnsi="Calibri"/>
                <w:b w:val="0"/>
                <w:i w:val="0"/>
                <w:color w:val="112133"/>
                <w:sz w:val="21"/>
              </w:rPr>
              <w:t>deploy:check</w:t>
            </w:r>
          </w:p>
        </w:tc>
        <w:tc>
          <w:tcPr>
            <w:tcW w:type="dxa" w:w="6480"/>
          </w:tcPr>
          <w:p>
            <w:pPr>
              <w:spacing w:before="0" w:after="0" w:line="240" w:lineRule="auto"/>
            </w:pPr>
            <w:r>
              <w:rPr>
                <w:rFonts w:ascii="Calibri" w:hAnsi="Calibri"/>
                <w:b w:val="0"/>
                <w:i w:val="0"/>
                <w:color w:val="112133"/>
                <w:sz w:val="21"/>
              </w:rPr>
              <w:t>node scripts/deployment-check.js</w:t>
            </w:r>
          </w:p>
        </w:tc>
      </w:tr>
      <w:tr>
        <w:tc>
          <w:tcPr>
            <w:tcW w:type="dxa" w:w="2880"/>
          </w:tcPr>
          <w:p>
            <w:pPr>
              <w:spacing w:before="0" w:after="0" w:line="240" w:lineRule="auto"/>
            </w:pPr>
            <w:r>
              <w:rPr>
                <w:rFonts w:ascii="Calibri" w:hAnsi="Calibri"/>
                <w:b w:val="0"/>
                <w:i w:val="0"/>
                <w:color w:val="112133"/>
                <w:sz w:val="21"/>
              </w:rPr>
              <w:t>release:check</w:t>
            </w:r>
          </w:p>
        </w:tc>
        <w:tc>
          <w:tcPr>
            <w:tcW w:type="dxa" w:w="6480"/>
          </w:tcPr>
          <w:p>
            <w:pPr>
              <w:spacing w:before="0" w:after="0" w:line="240" w:lineRule="auto"/>
            </w:pPr>
            <w:r>
              <w:rPr>
                <w:rFonts w:ascii="Calibri" w:hAnsi="Calibri"/>
                <w:b w:val="0"/>
                <w:i w:val="0"/>
                <w:color w:val="112133"/>
                <w:sz w:val="21"/>
              </w:rPr>
              <w:t>node scripts/github-package-check.js &amp;&amp; node --check server.js &amp;&amp; node --check src/healthEngine.js &amp;&amp; node --check src/memoryStore.js &amp;&amp; node --check src/recordStore.js &amp;&amp; node --check src/knowledgeGraphStore.js &amp;&amp; node --check src/localDataMirror.js &amp;&amp; node --check src/trainingEngine.js &amp;&amp; node --check src/offlineMedicalDatabase.js &amp;&amp; node --check src/offlineKnowledgeEnrichment.js &amp;&amp; node --check src/localAiEngine.js &amp;&amp; node --check src/hybridModelRouter.js &amp;&amp; node --check src/agenticRuntime.js &amp;&amp; node --check src/externalKnowledgeStore.js &amp;&amp; node --check src/medicineLookupStore.js &amp;&amp; node --check src/productIntelligence.js &amp;&amp; node --check src/advancedCapabilityEngine.js &amp;&amp; node --check public/app.js &amp;&amp; node --check public/sw.js &amp;&amp; node --check scripts/smoke-test.js &amp;&amp; node --check scripts/deployment-check.js &amp;&amp; node --check scripts/model-file-check.js &amp;&amp; node --check scripts/github-package-check.js &amp;&amp; node --check scripts/build-github-standalone.js &amp;&amp; node --check scripts/build-offline-repository.js &amp;&amp; node --check scripts/build-guide-streaming-assets.js &amp;&amp; node scripts/smoke-test.js &amp;&amp; node scripts/deployment-check.js &amp;&amp; node scripts/model-file-check.js</w:t>
            </w:r>
          </w:p>
        </w:tc>
      </w:tr>
    </w:tbl>
    <w:p/>
    <w:p>
      <w:pPr>
        <w:pStyle w:val="ListBullet"/>
        <w:spacing w:before="0" w:after="80" w:line="276" w:lineRule="auto"/>
      </w:pPr>
      <w:r>
        <w:rPr>
          <w:rFonts w:ascii="Calibri" w:hAnsi="Calibri"/>
          <w:b w:val="0"/>
          <w:i w:val="0"/>
          <w:color w:val="112133"/>
          <w:sz w:val="22"/>
        </w:rPr>
        <w:t>scripts/smoke-test.js exercises representative healthcare cases and validates route, risk, runtime, and retrieval behavior.</w:t>
      </w:r>
    </w:p>
    <w:p>
      <w:pPr>
        <w:pStyle w:val="ListBullet"/>
        <w:spacing w:before="0" w:after="80" w:line="276" w:lineRule="auto"/>
      </w:pPr>
      <w:r>
        <w:rPr>
          <w:rFonts w:ascii="Calibri" w:hAnsi="Calibri"/>
          <w:b w:val="0"/>
          <w:i w:val="0"/>
          <w:color w:val="112133"/>
          <w:sz w:val="22"/>
        </w:rPr>
        <w:t>scripts/deployment-check.js stands up a temporary server and verifies health endpoints, readiness, router state, persistence status, and deployment-related invariants.</w:t>
      </w:r>
    </w:p>
    <w:p>
      <w:pPr>
        <w:pStyle w:val="ListBullet"/>
        <w:spacing w:before="0" w:after="80" w:line="276" w:lineRule="auto"/>
      </w:pPr>
      <w:r>
        <w:rPr>
          <w:rFonts w:ascii="Calibri" w:hAnsi="Calibri"/>
          <w:b w:val="0"/>
          <w:i w:val="0"/>
          <w:color w:val="112133"/>
          <w:sz w:val="22"/>
        </w:rPr>
        <w:t>scripts/model-file-check.js validates that key source, UI, and data files are present.</w:t>
      </w:r>
    </w:p>
    <w:p>
      <w:pPr>
        <w:pStyle w:val="ListBullet"/>
        <w:spacing w:before="0" w:after="80" w:line="276" w:lineRule="auto"/>
      </w:pPr>
      <w:r>
        <w:rPr>
          <w:rFonts w:ascii="Calibri" w:hAnsi="Calibri"/>
          <w:b w:val="0"/>
          <w:i w:val="0"/>
          <w:color w:val="112133"/>
          <w:sz w:val="22"/>
        </w:rPr>
        <w:t>scripts/build-github-standalone.js and the github-ready-care-nova-ai folder package a static-friendly variant, but the richest local behavior still depends on the Node backend.</w:t>
      </w:r>
    </w:p>
    <w:p>
      <w:pPr>
        <w:spacing w:before="320" w:after="160" w:line="264" w:lineRule="auto"/>
      </w:pPr>
      <w:r>
        <w:rPr>
          <w:rFonts w:ascii="Calibri" w:hAnsi="Calibri"/>
          <w:b/>
          <w:i w:val="0"/>
          <w:color w:val="2E74B5"/>
          <w:sz w:val="32"/>
        </w:rPr>
        <w:t>14. Practical Strengths and Real Constraints</w:t>
      </w:r>
    </w:p>
    <w:tbl>
      <w:tblPr>
        <w:tblStyle w:val="TableGrid"/>
        <w:tblW w:type="auto" w:w="0"/>
        <w:tblLayout w:type="fixed"/>
        <w:tblLook w:firstColumn="1" w:firstRow="1" w:lastColumn="0" w:lastRow="0" w:noHBand="0" w:noVBand="1" w:val="04A0"/>
      </w:tblPr>
      <w:tblGrid>
        <w:gridCol w:w="1656"/>
        <w:gridCol w:w="3528"/>
        <w:gridCol w:w="4176"/>
      </w:tblGrid>
      <w:tr>
        <w:trPr>
          <w:tblHeader w:val="true"/>
        </w:trPr>
        <w:tc>
          <w:tcPr>
            <w:tcW w:type="dxa" w:w="1656"/>
            <w:tcMar>
              <w:top w:w="90" w:type="dxa"/>
              <w:start w:w="120" w:type="dxa"/>
              <w:bottom w:w="90" w:type="dxa"/>
              <w:end w:w="120" w:type="dxa"/>
            </w:tcMar>
            <w:shd w:fill="F3F6FA"/>
          </w:tcPr>
          <w:p>
            <w:pPr>
              <w:spacing w:before="0" w:after="0" w:line="240" w:lineRule="auto"/>
            </w:pPr>
            <w:r>
              <w:rPr>
                <w:rFonts w:ascii="Calibri" w:hAnsi="Calibri"/>
                <w:b/>
                <w:i w:val="0"/>
                <w:color w:val="576779"/>
                <w:sz w:val="20"/>
              </w:rPr>
              <w:t>Area</w:t>
            </w:r>
          </w:p>
        </w:tc>
        <w:tc>
          <w:tcPr>
            <w:tcW w:type="dxa" w:w="3528"/>
            <w:tcMar>
              <w:top w:w="90" w:type="dxa"/>
              <w:start w:w="120" w:type="dxa"/>
              <w:bottom w:w="90" w:type="dxa"/>
              <w:end w:w="120" w:type="dxa"/>
            </w:tcMar>
            <w:shd w:fill="F3F6FA"/>
          </w:tcPr>
          <w:p>
            <w:pPr>
              <w:spacing w:before="0" w:after="0" w:line="240" w:lineRule="auto"/>
            </w:pPr>
            <w:r>
              <w:rPr>
                <w:rFonts w:ascii="Calibri" w:hAnsi="Calibri"/>
                <w:b/>
                <w:i w:val="0"/>
                <w:color w:val="576779"/>
                <w:sz w:val="20"/>
              </w:rPr>
              <w:t>Strength</w:t>
            </w:r>
          </w:p>
        </w:tc>
        <w:tc>
          <w:tcPr>
            <w:tcW w:type="dxa" w:w="4176"/>
            <w:tcMar>
              <w:top w:w="90" w:type="dxa"/>
              <w:start w:w="120" w:type="dxa"/>
              <w:bottom w:w="90" w:type="dxa"/>
              <w:end w:w="120" w:type="dxa"/>
            </w:tcMar>
            <w:shd w:fill="F3F6FA"/>
          </w:tcPr>
          <w:p>
            <w:pPr>
              <w:spacing w:before="0" w:after="0" w:line="240" w:lineRule="auto"/>
            </w:pPr>
            <w:r>
              <w:rPr>
                <w:rFonts w:ascii="Calibri" w:hAnsi="Calibri"/>
                <w:b/>
                <w:i w:val="0"/>
                <w:color w:val="576779"/>
                <w:sz w:val="20"/>
              </w:rPr>
              <w:t>Constraint / truth-in-advertising note</w:t>
            </w:r>
          </w:p>
        </w:tc>
      </w:tr>
      <w:tr>
        <w:tc>
          <w:tcPr>
            <w:tcW w:type="dxa" w:w="1656"/>
          </w:tcPr>
          <w:p>
            <w:pPr>
              <w:spacing w:before="0" w:after="0" w:line="240" w:lineRule="auto"/>
            </w:pPr>
            <w:r>
              <w:rPr>
                <w:rFonts w:ascii="Calibri" w:hAnsi="Calibri"/>
                <w:b w:val="0"/>
                <w:i w:val="0"/>
                <w:color w:val="112133"/>
                <w:sz w:val="20"/>
              </w:rPr>
              <w:t>Routing</w:t>
            </w:r>
          </w:p>
        </w:tc>
        <w:tc>
          <w:tcPr>
            <w:tcW w:type="dxa" w:w="3528"/>
          </w:tcPr>
          <w:p>
            <w:pPr>
              <w:spacing w:before="0" w:after="0" w:line="240" w:lineRule="auto"/>
            </w:pPr>
            <w:r>
              <w:rPr>
                <w:rFonts w:ascii="Calibri" w:hAnsi="Calibri"/>
                <w:b w:val="0"/>
                <w:i w:val="0"/>
                <w:color w:val="112133"/>
                <w:sz w:val="20"/>
              </w:rPr>
              <w:t>Clear route ownership and specialist separation reduce generic chatbot drift.</w:t>
            </w:r>
          </w:p>
        </w:tc>
        <w:tc>
          <w:tcPr>
            <w:tcW w:type="dxa" w:w="4176"/>
          </w:tcPr>
          <w:p>
            <w:pPr>
              <w:spacing w:before="0" w:after="0" w:line="240" w:lineRule="auto"/>
            </w:pPr>
            <w:r>
              <w:rPr>
                <w:rFonts w:ascii="Calibri" w:hAnsi="Calibri"/>
                <w:b w:val="0"/>
                <w:i w:val="0"/>
                <w:color w:val="112133"/>
                <w:sz w:val="20"/>
              </w:rPr>
              <w:t>Classification quality still depends on prompt clarity and route cues in the user input.</w:t>
            </w:r>
          </w:p>
        </w:tc>
      </w:tr>
      <w:tr>
        <w:tc>
          <w:tcPr>
            <w:tcW w:type="dxa" w:w="1656"/>
          </w:tcPr>
          <w:p>
            <w:pPr>
              <w:spacing w:before="0" w:after="0" w:line="240" w:lineRule="auto"/>
            </w:pPr>
            <w:r>
              <w:rPr>
                <w:rFonts w:ascii="Calibri" w:hAnsi="Calibri"/>
                <w:b w:val="0"/>
                <w:i w:val="0"/>
                <w:color w:val="112133"/>
                <w:sz w:val="20"/>
              </w:rPr>
              <w:t>Offline operation</w:t>
            </w:r>
          </w:p>
        </w:tc>
        <w:tc>
          <w:tcPr>
            <w:tcW w:type="dxa" w:w="3528"/>
          </w:tcPr>
          <w:p>
            <w:pPr>
              <w:spacing w:before="0" w:after="0" w:line="240" w:lineRule="auto"/>
            </w:pPr>
            <w:r>
              <w:rPr>
                <w:rFonts w:ascii="Calibri" w:hAnsi="Calibri"/>
                <w:b w:val="0"/>
                <w:i w:val="0"/>
                <w:color w:val="112133"/>
                <w:sz w:val="20"/>
              </w:rPr>
              <w:t>Core analysis, persistence, retrieval, and guardrails all work without internet.</w:t>
            </w:r>
          </w:p>
        </w:tc>
        <w:tc>
          <w:tcPr>
            <w:tcW w:type="dxa" w:w="4176"/>
          </w:tcPr>
          <w:p>
            <w:pPr>
              <w:spacing w:before="0" w:after="0" w:line="240" w:lineRule="auto"/>
            </w:pPr>
            <w:r>
              <w:rPr>
                <w:rFonts w:ascii="Calibri" w:hAnsi="Calibri"/>
                <w:b w:val="0"/>
                <w:i w:val="0"/>
                <w:color w:val="112133"/>
                <w:sz w:val="20"/>
              </w:rPr>
              <w:t>Offline knowledge is bounded by the curated repository present on disk.</w:t>
            </w:r>
          </w:p>
        </w:tc>
      </w:tr>
      <w:tr>
        <w:tc>
          <w:tcPr>
            <w:tcW w:type="dxa" w:w="1656"/>
          </w:tcPr>
          <w:p>
            <w:pPr>
              <w:spacing w:before="0" w:after="0" w:line="240" w:lineRule="auto"/>
            </w:pPr>
            <w:r>
              <w:rPr>
                <w:rFonts w:ascii="Calibri" w:hAnsi="Calibri"/>
                <w:b w:val="0"/>
                <w:i w:val="0"/>
                <w:color w:val="112133"/>
                <w:sz w:val="20"/>
              </w:rPr>
              <w:t>LLM integration</w:t>
            </w:r>
          </w:p>
        </w:tc>
        <w:tc>
          <w:tcPr>
            <w:tcW w:type="dxa" w:w="3528"/>
          </w:tcPr>
          <w:p>
            <w:pPr>
              <w:spacing w:before="0" w:after="0" w:line="240" w:lineRule="auto"/>
            </w:pPr>
            <w:r>
              <w:rPr>
                <w:rFonts w:ascii="Calibri" w:hAnsi="Calibri"/>
                <w:b w:val="0"/>
                <w:i w:val="0"/>
                <w:color w:val="112133"/>
                <w:sz w:val="20"/>
              </w:rPr>
              <w:t>Supports local open-source models and optional cloud paths without making them mandatory.</w:t>
            </w:r>
          </w:p>
        </w:tc>
        <w:tc>
          <w:tcPr>
            <w:tcW w:type="dxa" w:w="4176"/>
          </w:tcPr>
          <w:p>
            <w:pPr>
              <w:spacing w:before="0" w:after="0" w:line="240" w:lineRule="auto"/>
            </w:pPr>
            <w:r>
              <w:rPr>
                <w:rFonts w:ascii="Calibri" w:hAnsi="Calibri"/>
                <w:b w:val="0"/>
                <w:i w:val="0"/>
                <w:color w:val="112133"/>
                <w:sz w:val="20"/>
              </w:rPr>
              <w:t>Configured model endpoints must actually be reachable and loaded; otherwise the system falls back.</w:t>
            </w:r>
          </w:p>
        </w:tc>
      </w:tr>
      <w:tr>
        <w:tc>
          <w:tcPr>
            <w:tcW w:type="dxa" w:w="1656"/>
          </w:tcPr>
          <w:p>
            <w:pPr>
              <w:spacing w:before="0" w:after="0" w:line="240" w:lineRule="auto"/>
            </w:pPr>
            <w:r>
              <w:rPr>
                <w:rFonts w:ascii="Calibri" w:hAnsi="Calibri"/>
                <w:b w:val="0"/>
                <w:i w:val="0"/>
                <w:color w:val="112133"/>
                <w:sz w:val="20"/>
              </w:rPr>
              <w:t>Persistence</w:t>
            </w:r>
          </w:p>
        </w:tc>
        <w:tc>
          <w:tcPr>
            <w:tcW w:type="dxa" w:w="3528"/>
          </w:tcPr>
          <w:p>
            <w:pPr>
              <w:spacing w:before="0" w:after="0" w:line="240" w:lineRule="auto"/>
            </w:pPr>
            <w:r>
              <w:rPr>
                <w:rFonts w:ascii="Calibri" w:hAnsi="Calibri"/>
                <w:b w:val="0"/>
                <w:i w:val="0"/>
                <w:color w:val="112133"/>
                <w:sz w:val="20"/>
              </w:rPr>
              <w:t>Memory, records, graph, and mirror support create strong longitudinal context.</w:t>
            </w:r>
          </w:p>
        </w:tc>
        <w:tc>
          <w:tcPr>
            <w:tcW w:type="dxa" w:w="4176"/>
          </w:tcPr>
          <w:p>
            <w:pPr>
              <w:spacing w:before="0" w:after="0" w:line="240" w:lineRule="auto"/>
            </w:pPr>
            <w:r>
              <w:rPr>
                <w:rFonts w:ascii="Calibri" w:hAnsi="Calibri"/>
                <w:b w:val="0"/>
                <w:i w:val="0"/>
                <w:color w:val="112133"/>
                <w:sz w:val="20"/>
              </w:rPr>
              <w:t>Static-only deployments cannot reproduce the full local server persistence model by themselves.</w:t>
            </w:r>
          </w:p>
        </w:tc>
      </w:tr>
      <w:tr>
        <w:tc>
          <w:tcPr>
            <w:tcW w:type="dxa" w:w="1656"/>
          </w:tcPr>
          <w:p>
            <w:pPr>
              <w:spacing w:before="0" w:after="0" w:line="240" w:lineRule="auto"/>
            </w:pPr>
            <w:r>
              <w:rPr>
                <w:rFonts w:ascii="Calibri" w:hAnsi="Calibri"/>
                <w:b w:val="0"/>
                <w:i w:val="0"/>
                <w:color w:val="112133"/>
                <w:sz w:val="20"/>
              </w:rPr>
              <w:t>Training</w:t>
            </w:r>
          </w:p>
        </w:tc>
        <w:tc>
          <w:tcPr>
            <w:tcW w:type="dxa" w:w="3528"/>
          </w:tcPr>
          <w:p>
            <w:pPr>
              <w:spacing w:before="0" w:after="0" w:line="240" w:lineRule="auto"/>
            </w:pPr>
            <w:r>
              <w:rPr>
                <w:rFonts w:ascii="Calibri" w:hAnsi="Calibri"/>
                <w:b w:val="0"/>
                <w:i w:val="0"/>
                <w:color w:val="112133"/>
                <w:sz w:val="20"/>
              </w:rPr>
              <w:t>Approved-example calibration can improve route fit over time.</w:t>
            </w:r>
          </w:p>
        </w:tc>
        <w:tc>
          <w:tcPr>
            <w:tcW w:type="dxa" w:w="4176"/>
          </w:tcPr>
          <w:p>
            <w:pPr>
              <w:spacing w:before="0" w:after="0" w:line="240" w:lineRule="auto"/>
            </w:pPr>
            <w:r>
              <w:rPr>
                <w:rFonts w:ascii="Calibri" w:hAnsi="Calibri"/>
                <w:b w:val="0"/>
                <w:i w:val="0"/>
                <w:color w:val="112133"/>
                <w:sz w:val="20"/>
              </w:rPr>
              <w:t>This is calibration logic, not a full medical deep-learning pipeline or autonomous medical fact learning.</w:t>
            </w:r>
          </w:p>
        </w:tc>
      </w:tr>
    </w:tbl>
    <w:p/>
    <w:p>
      <w:pPr>
        <w:spacing w:before="320" w:after="160" w:line="264" w:lineRule="auto"/>
      </w:pPr>
      <w:r>
        <w:rPr>
          <w:rFonts w:ascii="Calibri" w:hAnsi="Calibri"/>
          <w:b/>
          <w:i w:val="0"/>
          <w:color w:val="2E74B5"/>
          <w:sz w:val="32"/>
        </w:rPr>
        <w:t>15. How to Extend the Model Safely</w:t>
      </w:r>
    </w:p>
    <w:p>
      <w:pPr>
        <w:pStyle w:val="ListNumber"/>
        <w:spacing w:before="0" w:after="80" w:line="276" w:lineRule="auto"/>
      </w:pPr>
      <w:r>
        <w:rPr>
          <w:rFonts w:ascii="Calibri" w:hAnsi="Calibri"/>
          <w:b w:val="0"/>
          <w:i w:val="0"/>
          <w:color w:val="112133"/>
          <w:sz w:val="22"/>
        </w:rPr>
        <w:t>Add or update curated offline knowledge in data/offline-source-packs/, then rebuild the repository with scripts/build-offline-repository.js.</w:t>
      </w:r>
    </w:p>
    <w:p>
      <w:pPr>
        <w:pStyle w:val="ListNumber"/>
        <w:spacing w:before="0" w:after="80" w:line="276" w:lineRule="auto"/>
      </w:pPr>
      <w:r>
        <w:rPr>
          <w:rFonts w:ascii="Calibri" w:hAnsi="Calibri"/>
          <w:b w:val="0"/>
          <w:i w:val="0"/>
          <w:color w:val="112133"/>
          <w:sz w:val="22"/>
        </w:rPr>
        <w:t>Introduce a new specialist route by adding route classification signals, execution-plan support, a runner function in src/healthEngine.js, UI routing labels, and smoke-test coverage.</w:t>
      </w:r>
    </w:p>
    <w:p>
      <w:pPr>
        <w:pStyle w:val="ListNumber"/>
        <w:spacing w:before="0" w:after="80" w:line="276" w:lineRule="auto"/>
      </w:pPr>
      <w:r>
        <w:rPr>
          <w:rFonts w:ascii="Calibri" w:hAnsi="Calibri"/>
          <w:b w:val="0"/>
          <w:i w:val="0"/>
          <w:color w:val="112133"/>
          <w:sz w:val="22"/>
        </w:rPr>
        <w:t>If an LLM should refine that route, add a route boundary and schema support to src/specialistLlmGateway.js or src/localReasoningGateway.js.</w:t>
      </w:r>
    </w:p>
    <w:p>
      <w:pPr>
        <w:pStyle w:val="ListNumber"/>
        <w:spacing w:before="0" w:after="80" w:line="276" w:lineRule="auto"/>
      </w:pPr>
      <w:r>
        <w:rPr>
          <w:rFonts w:ascii="Calibri" w:hAnsi="Calibri"/>
          <w:b w:val="0"/>
          <w:i w:val="0"/>
          <w:color w:val="112133"/>
          <w:sz w:val="22"/>
        </w:rPr>
        <w:t>Update server endpoints only when a new capability truly needs an API surface, and keep persistence local by default.</w:t>
      </w:r>
    </w:p>
    <w:p>
      <w:pPr>
        <w:pStyle w:val="ListNumber"/>
        <w:spacing w:before="0" w:after="80" w:line="276" w:lineRule="auto"/>
      </w:pPr>
      <w:r>
        <w:rPr>
          <w:rFonts w:ascii="Calibri" w:hAnsi="Calibri"/>
          <w:b w:val="0"/>
          <w:i w:val="0"/>
          <w:color w:val="112133"/>
          <w:sz w:val="22"/>
        </w:rPr>
        <w:t>Add deployment or runtime flags to .env.example only when they can be backed by a safe fallback path.</w:t>
      </w:r>
    </w:p>
    <w:p>
      <w:pPr>
        <w:spacing w:before="320" w:after="160" w:line="264" w:lineRule="auto"/>
      </w:pPr>
      <w:r>
        <w:rPr>
          <w:rFonts w:ascii="Calibri" w:hAnsi="Calibri"/>
          <w:b/>
          <w:i w:val="0"/>
          <w:color w:val="2E74B5"/>
          <w:sz w:val="32"/>
        </w:rPr>
        <w:t>16. Key Source Files</w:t>
      </w:r>
    </w:p>
    <w:tbl>
      <w:tblPr>
        <w:tblStyle w:val="TableGrid"/>
        <w:tblW w:type="auto" w:w="0"/>
        <w:tblLayout w:type="fixed"/>
        <w:tblLook w:firstColumn="1" w:firstRow="1" w:lastColumn="0" w:lastRow="0" w:noHBand="0" w:noVBand="1" w:val="04A0"/>
      </w:tblPr>
      <w:tblGrid>
        <w:gridCol w:w="2880"/>
        <w:gridCol w:w="6480"/>
      </w:tblGrid>
      <w:tr>
        <w:trPr>
          <w:tblHeader w:val="true"/>
        </w:trPr>
        <w:tc>
          <w:tcPr>
            <w:tcW w:type="dxa" w:w="2880"/>
            <w:tcMar>
              <w:top w:w="90" w:type="dxa"/>
              <w:start w:w="120" w:type="dxa"/>
              <w:bottom w:w="90" w:type="dxa"/>
              <w:end w:w="120" w:type="dxa"/>
            </w:tcMar>
            <w:shd w:fill="F3F6FA"/>
          </w:tcPr>
          <w:p>
            <w:pPr>
              <w:spacing w:before="0" w:after="0" w:line="240" w:lineRule="auto"/>
            </w:pPr>
            <w:r>
              <w:rPr>
                <w:rFonts w:ascii="Calibri" w:hAnsi="Calibri"/>
                <w:b/>
                <w:i w:val="0"/>
                <w:color w:val="576779"/>
                <w:sz w:val="21"/>
              </w:rPr>
              <w:t>Field</w:t>
            </w:r>
          </w:p>
        </w:tc>
        <w:tc>
          <w:tcPr>
            <w:tcW w:type="dxa" w:w="6480"/>
            <w:tcMar>
              <w:top w:w="90" w:type="dxa"/>
              <w:start w:w="120" w:type="dxa"/>
              <w:bottom w:w="90" w:type="dxa"/>
              <w:end w:w="120" w:type="dxa"/>
            </w:tcMar>
            <w:shd w:fill="F3F6FA"/>
          </w:tcPr>
          <w:p>
            <w:pPr>
              <w:spacing w:before="0" w:after="0" w:line="240" w:lineRule="auto"/>
            </w:pPr>
            <w:r>
              <w:rPr>
                <w:rFonts w:ascii="Calibri" w:hAnsi="Calibri"/>
                <w:b/>
                <w:i w:val="0"/>
                <w:color w:val="576779"/>
                <w:sz w:val="21"/>
              </w:rPr>
              <w:t>Value</w:t>
            </w:r>
          </w:p>
        </w:tc>
      </w:tr>
      <w:tr>
        <w:tc>
          <w:tcPr>
            <w:tcW w:type="dxa" w:w="2880"/>
          </w:tcPr>
          <w:p>
            <w:pPr>
              <w:spacing w:before="0" w:after="0" w:line="240" w:lineRule="auto"/>
            </w:pPr>
            <w:r>
              <w:rPr>
                <w:rFonts w:ascii="Calibri" w:hAnsi="Calibri"/>
                <w:b w:val="0"/>
                <w:i w:val="0"/>
                <w:color w:val="112133"/>
                <w:sz w:val="21"/>
              </w:rPr>
              <w:t>server.js</w:t>
            </w:r>
          </w:p>
        </w:tc>
        <w:tc>
          <w:tcPr>
            <w:tcW w:type="dxa" w:w="6480"/>
          </w:tcPr>
          <w:p>
            <w:pPr>
              <w:spacing w:before="0" w:after="0" w:line="240" w:lineRule="auto"/>
            </w:pPr>
            <w:r>
              <w:rPr>
                <w:rFonts w:ascii="Calibri" w:hAnsi="Calibri"/>
                <w:b w:val="0"/>
                <w:i w:val="0"/>
                <w:color w:val="112133"/>
                <w:sz w:val="21"/>
              </w:rPr>
              <w:t>HTTP entrypoint, API surface, health/readiness endpoints, persistence orchestration, and post-processing.</w:t>
            </w:r>
          </w:p>
        </w:tc>
      </w:tr>
      <w:tr>
        <w:tc>
          <w:tcPr>
            <w:tcW w:type="dxa" w:w="2880"/>
          </w:tcPr>
          <w:p>
            <w:pPr>
              <w:spacing w:before="0" w:after="0" w:line="240" w:lineRule="auto"/>
            </w:pPr>
            <w:r>
              <w:rPr>
                <w:rFonts w:ascii="Calibri" w:hAnsi="Calibri"/>
                <w:b w:val="0"/>
                <w:i w:val="0"/>
                <w:color w:val="112133"/>
                <w:sz w:val="21"/>
              </w:rPr>
              <w:t>src/healthEngine.js</w:t>
            </w:r>
          </w:p>
        </w:tc>
        <w:tc>
          <w:tcPr>
            <w:tcW w:type="dxa" w:w="6480"/>
          </w:tcPr>
          <w:p>
            <w:pPr>
              <w:spacing w:before="0" w:after="0" w:line="240" w:lineRule="auto"/>
            </w:pPr>
            <w:r>
              <w:rPr>
                <w:rFonts w:ascii="Calibri" w:hAnsi="Calibri"/>
                <w:b w:val="0"/>
                <w:i w:val="0"/>
                <w:color w:val="112133"/>
                <w:sz w:val="21"/>
              </w:rPr>
              <w:t>Main healthcare workflow engine and the most important file in the repository.</w:t>
            </w:r>
          </w:p>
        </w:tc>
      </w:tr>
      <w:tr>
        <w:tc>
          <w:tcPr>
            <w:tcW w:type="dxa" w:w="2880"/>
          </w:tcPr>
          <w:p>
            <w:pPr>
              <w:spacing w:before="0" w:after="0" w:line="240" w:lineRule="auto"/>
            </w:pPr>
            <w:r>
              <w:rPr>
                <w:rFonts w:ascii="Calibri" w:hAnsi="Calibri"/>
                <w:b w:val="0"/>
                <w:i w:val="0"/>
                <w:color w:val="112133"/>
                <w:sz w:val="21"/>
              </w:rPr>
              <w:t>src/localAiEngine.js</w:t>
            </w:r>
          </w:p>
        </w:tc>
        <w:tc>
          <w:tcPr>
            <w:tcW w:type="dxa" w:w="6480"/>
          </w:tcPr>
          <w:p>
            <w:pPr>
              <w:spacing w:before="0" w:after="0" w:line="240" w:lineRule="auto"/>
            </w:pPr>
            <w:r>
              <w:rPr>
                <w:rFonts w:ascii="Calibri" w:hAnsi="Calibri"/>
                <w:b w:val="0"/>
                <w:i w:val="0"/>
                <w:color w:val="112133"/>
                <w:sz w:val="21"/>
              </w:rPr>
              <w:t>Offline ranking and evidence scoring logic.</w:t>
            </w:r>
          </w:p>
        </w:tc>
      </w:tr>
      <w:tr>
        <w:tc>
          <w:tcPr>
            <w:tcW w:type="dxa" w:w="2880"/>
          </w:tcPr>
          <w:p>
            <w:pPr>
              <w:spacing w:before="0" w:after="0" w:line="240" w:lineRule="auto"/>
            </w:pPr>
            <w:r>
              <w:rPr>
                <w:rFonts w:ascii="Calibri" w:hAnsi="Calibri"/>
                <w:b w:val="0"/>
                <w:i w:val="0"/>
                <w:color w:val="112133"/>
                <w:sz w:val="21"/>
              </w:rPr>
              <w:t>src/hybridModelRouter.js</w:t>
            </w:r>
          </w:p>
        </w:tc>
        <w:tc>
          <w:tcPr>
            <w:tcW w:type="dxa" w:w="6480"/>
          </w:tcPr>
          <w:p>
            <w:pPr>
              <w:spacing w:before="0" w:after="0" w:line="240" w:lineRule="auto"/>
            </w:pPr>
            <w:r>
              <w:rPr>
                <w:rFonts w:ascii="Calibri" w:hAnsi="Calibri"/>
                <w:b w:val="0"/>
                <w:i w:val="0"/>
                <w:color w:val="112133"/>
                <w:sz w:val="21"/>
              </w:rPr>
              <w:t>Route-aware local/cloud model selection and failover chain builder.</w:t>
            </w:r>
          </w:p>
        </w:tc>
      </w:tr>
      <w:tr>
        <w:tc>
          <w:tcPr>
            <w:tcW w:type="dxa" w:w="2880"/>
          </w:tcPr>
          <w:p>
            <w:pPr>
              <w:spacing w:before="0" w:after="0" w:line="240" w:lineRule="auto"/>
            </w:pPr>
            <w:r>
              <w:rPr>
                <w:rFonts w:ascii="Calibri" w:hAnsi="Calibri"/>
                <w:b w:val="0"/>
                <w:i w:val="0"/>
                <w:color w:val="112133"/>
                <w:sz w:val="21"/>
              </w:rPr>
              <w:t>src/openSourceLocalRuntime.js</w:t>
            </w:r>
          </w:p>
        </w:tc>
        <w:tc>
          <w:tcPr>
            <w:tcW w:type="dxa" w:w="6480"/>
          </w:tcPr>
          <w:p>
            <w:pPr>
              <w:spacing w:before="0" w:after="0" w:line="240" w:lineRule="auto"/>
            </w:pPr>
            <w:r>
              <w:rPr>
                <w:rFonts w:ascii="Calibri" w:hAnsi="Calibri"/>
                <w:b w:val="0"/>
                <w:i w:val="0"/>
                <w:color w:val="112133"/>
                <w:sz w:val="21"/>
              </w:rPr>
              <w:t>Local runtime discovery and endpoint probing for Ollama/LM Studio style adapters.</w:t>
            </w:r>
          </w:p>
        </w:tc>
      </w:tr>
      <w:tr>
        <w:tc>
          <w:tcPr>
            <w:tcW w:type="dxa" w:w="2880"/>
          </w:tcPr>
          <w:p>
            <w:pPr>
              <w:spacing w:before="0" w:after="0" w:line="240" w:lineRule="auto"/>
            </w:pPr>
            <w:r>
              <w:rPr>
                <w:rFonts w:ascii="Calibri" w:hAnsi="Calibri"/>
                <w:b w:val="0"/>
                <w:i w:val="0"/>
                <w:color w:val="112133"/>
                <w:sz w:val="21"/>
              </w:rPr>
              <w:t>src/localReasoningGateway.js</w:t>
            </w:r>
          </w:p>
        </w:tc>
        <w:tc>
          <w:tcPr>
            <w:tcW w:type="dxa" w:w="6480"/>
          </w:tcPr>
          <w:p>
            <w:pPr>
              <w:spacing w:before="0" w:after="0" w:line="240" w:lineRule="auto"/>
            </w:pPr>
            <w:r>
              <w:rPr>
                <w:rFonts w:ascii="Calibri" w:hAnsi="Calibri"/>
                <w:b w:val="0"/>
                <w:i w:val="0"/>
                <w:color w:val="112133"/>
                <w:sz w:val="21"/>
              </w:rPr>
              <w:t>Optional open-source local second-pass reasoning on the final result.</w:t>
            </w:r>
          </w:p>
        </w:tc>
      </w:tr>
      <w:tr>
        <w:tc>
          <w:tcPr>
            <w:tcW w:type="dxa" w:w="2880"/>
          </w:tcPr>
          <w:p>
            <w:pPr>
              <w:spacing w:before="0" w:after="0" w:line="240" w:lineRule="auto"/>
            </w:pPr>
            <w:r>
              <w:rPr>
                <w:rFonts w:ascii="Calibri" w:hAnsi="Calibri"/>
                <w:b w:val="0"/>
                <w:i w:val="0"/>
                <w:color w:val="112133"/>
                <w:sz w:val="21"/>
              </w:rPr>
              <w:t>src/specialistLlmGateway.js</w:t>
            </w:r>
          </w:p>
        </w:tc>
        <w:tc>
          <w:tcPr>
            <w:tcW w:type="dxa" w:w="6480"/>
          </w:tcPr>
          <w:p>
            <w:pPr>
              <w:spacing w:before="0" w:after="0" w:line="240" w:lineRule="auto"/>
            </w:pPr>
            <w:r>
              <w:rPr>
                <w:rFonts w:ascii="Calibri" w:hAnsi="Calibri"/>
                <w:b w:val="0"/>
                <w:i w:val="0"/>
                <w:color w:val="112133"/>
                <w:sz w:val="21"/>
              </w:rPr>
              <w:t>Optional route-level specialist output refinement.</w:t>
            </w:r>
          </w:p>
        </w:tc>
      </w:tr>
      <w:tr>
        <w:tc>
          <w:tcPr>
            <w:tcW w:type="dxa" w:w="2880"/>
          </w:tcPr>
          <w:p>
            <w:pPr>
              <w:spacing w:before="0" w:after="0" w:line="240" w:lineRule="auto"/>
            </w:pPr>
            <w:r>
              <w:rPr>
                <w:rFonts w:ascii="Calibri" w:hAnsi="Calibri"/>
                <w:b w:val="0"/>
                <w:i w:val="0"/>
                <w:color w:val="112133"/>
                <w:sz w:val="21"/>
              </w:rPr>
              <w:t>src/memoryStore.js</w:t>
            </w:r>
          </w:p>
        </w:tc>
        <w:tc>
          <w:tcPr>
            <w:tcW w:type="dxa" w:w="6480"/>
          </w:tcPr>
          <w:p>
            <w:pPr>
              <w:spacing w:before="0" w:after="0" w:line="240" w:lineRule="auto"/>
            </w:pPr>
            <w:r>
              <w:rPr>
                <w:rFonts w:ascii="Calibri" w:hAnsi="Calibri"/>
                <w:b w:val="0"/>
                <w:i w:val="0"/>
                <w:color w:val="112133"/>
                <w:sz w:val="21"/>
              </w:rPr>
              <w:t>Persistent patient conversation memory.</w:t>
            </w:r>
          </w:p>
        </w:tc>
      </w:tr>
      <w:tr>
        <w:tc>
          <w:tcPr>
            <w:tcW w:type="dxa" w:w="2880"/>
          </w:tcPr>
          <w:p>
            <w:pPr>
              <w:spacing w:before="0" w:after="0" w:line="240" w:lineRule="auto"/>
            </w:pPr>
            <w:r>
              <w:rPr>
                <w:rFonts w:ascii="Calibri" w:hAnsi="Calibri"/>
                <w:b w:val="0"/>
                <w:i w:val="0"/>
                <w:color w:val="112133"/>
                <w:sz w:val="21"/>
              </w:rPr>
              <w:t>src/recordStore.js</w:t>
            </w:r>
          </w:p>
        </w:tc>
        <w:tc>
          <w:tcPr>
            <w:tcW w:type="dxa" w:w="6480"/>
          </w:tcPr>
          <w:p>
            <w:pPr>
              <w:spacing w:before="0" w:after="0" w:line="240" w:lineRule="auto"/>
            </w:pPr>
            <w:r>
              <w:rPr>
                <w:rFonts w:ascii="Calibri" w:hAnsi="Calibri"/>
                <w:b w:val="0"/>
                <w:i w:val="0"/>
                <w:color w:val="112133"/>
                <w:sz w:val="21"/>
              </w:rPr>
              <w:t>Persistent patient records.</w:t>
            </w:r>
          </w:p>
        </w:tc>
      </w:tr>
      <w:tr>
        <w:tc>
          <w:tcPr>
            <w:tcW w:type="dxa" w:w="2880"/>
          </w:tcPr>
          <w:p>
            <w:pPr>
              <w:spacing w:before="0" w:after="0" w:line="240" w:lineRule="auto"/>
            </w:pPr>
            <w:r>
              <w:rPr>
                <w:rFonts w:ascii="Calibri" w:hAnsi="Calibri"/>
                <w:b w:val="0"/>
                <w:i w:val="0"/>
                <w:color w:val="112133"/>
                <w:sz w:val="21"/>
              </w:rPr>
              <w:t>src/knowledgeGraphStore.js</w:t>
            </w:r>
          </w:p>
        </w:tc>
        <w:tc>
          <w:tcPr>
            <w:tcW w:type="dxa" w:w="6480"/>
          </w:tcPr>
          <w:p>
            <w:pPr>
              <w:spacing w:before="0" w:after="0" w:line="240" w:lineRule="auto"/>
            </w:pPr>
            <w:r>
              <w:rPr>
                <w:rFonts w:ascii="Calibri" w:hAnsi="Calibri"/>
                <w:b w:val="0"/>
                <w:i w:val="0"/>
                <w:color w:val="112133"/>
                <w:sz w:val="21"/>
              </w:rPr>
              <w:t>Persistent structured patient knowledge graph with sharding support.</w:t>
            </w:r>
          </w:p>
        </w:tc>
      </w:tr>
      <w:tr>
        <w:tc>
          <w:tcPr>
            <w:tcW w:type="dxa" w:w="2880"/>
          </w:tcPr>
          <w:p>
            <w:pPr>
              <w:spacing w:before="0" w:after="0" w:line="240" w:lineRule="auto"/>
            </w:pPr>
            <w:r>
              <w:rPr>
                <w:rFonts w:ascii="Calibri" w:hAnsi="Calibri"/>
                <w:b w:val="0"/>
                <w:i w:val="0"/>
                <w:color w:val="112133"/>
                <w:sz w:val="21"/>
              </w:rPr>
              <w:t>src/trainingEngine.js</w:t>
            </w:r>
          </w:p>
        </w:tc>
        <w:tc>
          <w:tcPr>
            <w:tcW w:type="dxa" w:w="6480"/>
          </w:tcPr>
          <w:p>
            <w:pPr>
              <w:spacing w:before="0" w:after="0" w:line="240" w:lineRule="auto"/>
            </w:pPr>
            <w:r>
              <w:rPr>
                <w:rFonts w:ascii="Calibri" w:hAnsi="Calibri"/>
                <w:b w:val="0"/>
                <w:i w:val="0"/>
                <w:color w:val="112133"/>
                <w:sz w:val="21"/>
              </w:rPr>
              <w:t>Local feedback example store and route-calibration logic.</w:t>
            </w:r>
          </w:p>
        </w:tc>
      </w:tr>
      <w:tr>
        <w:tc>
          <w:tcPr>
            <w:tcW w:type="dxa" w:w="2880"/>
          </w:tcPr>
          <w:p>
            <w:pPr>
              <w:spacing w:before="0" w:after="0" w:line="240" w:lineRule="auto"/>
            </w:pPr>
            <w:r>
              <w:rPr>
                <w:rFonts w:ascii="Calibri" w:hAnsi="Calibri"/>
                <w:b w:val="0"/>
                <w:i w:val="0"/>
                <w:color w:val="112133"/>
                <w:sz w:val="21"/>
              </w:rPr>
              <w:t>public/app.js</w:t>
            </w:r>
          </w:p>
        </w:tc>
        <w:tc>
          <w:tcPr>
            <w:tcW w:type="dxa" w:w="6480"/>
          </w:tcPr>
          <w:p>
            <w:pPr>
              <w:spacing w:before="0" w:after="0" w:line="240" w:lineRule="auto"/>
            </w:pPr>
            <w:r>
              <w:rPr>
                <w:rFonts w:ascii="Calibri" w:hAnsi="Calibri"/>
                <w:b w:val="0"/>
                <w:i w:val="0"/>
                <w:color w:val="112133"/>
                <w:sz w:val="21"/>
              </w:rPr>
              <w:t>Frontend controller for tabs, theme, language, guide, results, and API calls.</w:t>
            </w:r>
          </w:p>
        </w:tc>
      </w:tr>
      <w:tr>
        <w:tc>
          <w:tcPr>
            <w:tcW w:type="dxa" w:w="2880"/>
          </w:tcPr>
          <w:p>
            <w:pPr>
              <w:spacing w:before="0" w:after="0" w:line="240" w:lineRule="auto"/>
            </w:pPr>
            <w:r>
              <w:rPr>
                <w:rFonts w:ascii="Calibri" w:hAnsi="Calibri"/>
                <w:b w:val="0"/>
                <w:i w:val="0"/>
                <w:color w:val="112133"/>
                <w:sz w:val="21"/>
              </w:rPr>
              <w:t>scripts/build-offline-repository.js</w:t>
            </w:r>
          </w:p>
        </w:tc>
        <w:tc>
          <w:tcPr>
            <w:tcW w:type="dxa" w:w="6480"/>
          </w:tcPr>
          <w:p>
            <w:pPr>
              <w:spacing w:before="0" w:after="0" w:line="240" w:lineRule="auto"/>
            </w:pPr>
            <w:r>
              <w:rPr>
                <w:rFonts w:ascii="Calibri" w:hAnsi="Calibri"/>
                <w:b w:val="0"/>
                <w:i w:val="0"/>
                <w:color w:val="112133"/>
                <w:sz w:val="21"/>
              </w:rPr>
              <w:t>Offline repository and index builder.</w:t>
            </w:r>
          </w:p>
        </w:tc>
      </w:tr>
      <w:tr>
        <w:tc>
          <w:tcPr>
            <w:tcW w:type="dxa" w:w="2880"/>
          </w:tcPr>
          <w:p>
            <w:pPr>
              <w:spacing w:before="0" w:after="0" w:line="240" w:lineRule="auto"/>
            </w:pPr>
            <w:r>
              <w:rPr>
                <w:rFonts w:ascii="Calibri" w:hAnsi="Calibri"/>
                <w:b w:val="0"/>
                <w:i w:val="0"/>
                <w:color w:val="112133"/>
                <w:sz w:val="21"/>
              </w:rPr>
              <w:t>scripts/smoke-test.js</w:t>
            </w:r>
          </w:p>
        </w:tc>
        <w:tc>
          <w:tcPr>
            <w:tcW w:type="dxa" w:w="6480"/>
          </w:tcPr>
          <w:p>
            <w:pPr>
              <w:spacing w:before="0" w:after="0" w:line="240" w:lineRule="auto"/>
            </w:pPr>
            <w:r>
              <w:rPr>
                <w:rFonts w:ascii="Calibri" w:hAnsi="Calibri"/>
                <w:b w:val="0"/>
                <w:i w:val="0"/>
                <w:color w:val="112133"/>
                <w:sz w:val="21"/>
              </w:rPr>
              <w:t>Regression and scenario validation.</w:t>
            </w:r>
          </w:p>
        </w:tc>
      </w:tr>
      <w:tr>
        <w:tc>
          <w:tcPr>
            <w:tcW w:type="dxa" w:w="2880"/>
          </w:tcPr>
          <w:p>
            <w:pPr>
              <w:spacing w:before="0" w:after="0" w:line="240" w:lineRule="auto"/>
            </w:pPr>
            <w:r>
              <w:rPr>
                <w:rFonts w:ascii="Calibri" w:hAnsi="Calibri"/>
                <w:b w:val="0"/>
                <w:i w:val="0"/>
                <w:color w:val="112133"/>
                <w:sz w:val="21"/>
              </w:rPr>
              <w:t>scripts/deployment-check.js</w:t>
            </w:r>
          </w:p>
        </w:tc>
        <w:tc>
          <w:tcPr>
            <w:tcW w:type="dxa" w:w="6480"/>
          </w:tcPr>
          <w:p>
            <w:pPr>
              <w:spacing w:before="0" w:after="0" w:line="240" w:lineRule="auto"/>
            </w:pPr>
            <w:r>
              <w:rPr>
                <w:rFonts w:ascii="Calibri" w:hAnsi="Calibri"/>
                <w:b w:val="0"/>
                <w:i w:val="0"/>
                <w:color w:val="112133"/>
                <w:sz w:val="21"/>
              </w:rPr>
              <w:t>Deployment readiness validation.</w:t>
            </w:r>
          </w:p>
        </w:tc>
      </w:tr>
    </w:tbl>
    <w:p/>
    <w:p>
      <w:pPr>
        <w:spacing w:before="320" w:after="160" w:line="264" w:lineRule="auto"/>
      </w:pPr>
      <w:r>
        <w:rPr>
          <w:rFonts w:ascii="Calibri" w:hAnsi="Calibri"/>
          <w:b/>
          <w:i w:val="0"/>
          <w:color w:val="2E74B5"/>
          <w:sz w:val="32"/>
        </w:rPr>
        <w:t>17. Bottom Line</w:t>
      </w:r>
    </w:p>
    <w:p>
      <w:pPr>
        <w:spacing w:before="0" w:after="120" w:line="276" w:lineRule="auto"/>
      </w:pPr>
      <w:r>
        <w:rPr>
          <w:rFonts w:ascii="Calibri" w:hAnsi="Calibri"/>
          <w:b w:val="0"/>
          <w:i w:val="0"/>
          <w:color w:val="112133"/>
          <w:sz w:val="22"/>
        </w:rPr>
        <w:t>Care Nova AI is best understood as a local-first healthcare operating model built out of specialized software layers. Its core strength is not that one single model 'knows everything'; its strength is that it structures input, uses explicit route control, grounds answers in local evidence, preserves context over time, and only then allows optional model-assisted refinement. That architecture is why the project can support many tabs, offline behavior, local privacy, and safer response shaping in one workspace.</w:t>
      </w:r>
    </w:p>
    <w:sectPr w:rsidR="00FC693F" w:rsidRPr="0006063C" w:rsidSect="00034616">
      <w:headerReference w:type="default" r:id="rId9"/>
      <w:footerReference w:type="default" r:id="rId10"/>
      <w:pgSz w:w="12240" w:h="15840"/>
      <w:pgMar w:top="1440" w:right="1440" w:bottom="1224"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b w:val="0"/>
        <w:i w:val="0"/>
        <w:color w:val="576779"/>
        <w:sz w:val="19"/>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b w:val="0"/>
        <w:i w:val="0"/>
        <w:color w:val="576779"/>
        <w:sz w:val="19"/>
      </w:rPr>
      <w:t>Care Nova AI | Architecture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