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60" w:line="240" w:lineRule="auto"/>
        <w:jc w:val="left"/>
      </w:pPr>
      <w:r>
        <w:rPr>
          <w:rFonts w:ascii="Calibri" w:hAnsi="Calibri"/>
          <w:b/>
          <w:i w:val="0"/>
          <w:color w:val="000000"/>
          <w:sz w:val="44"/>
        </w:rPr>
        <w:t>Care Nova AI Documentation Pack</w:t>
      </w:r>
    </w:p>
    <w:p>
      <w:pPr>
        <w:spacing w:before="0" w:after="320" w:line="252" w:lineRule="auto"/>
        <w:pBdr>
          <w:bottom w:val="single" w:sz="6" w:space="1" w:color="D8DEE8"/>
        </w:pBdr>
      </w:pPr>
      <w:r>
        <w:rPr>
          <w:rFonts w:ascii="Calibri" w:hAnsi="Calibri"/>
          <w:b w:val="0"/>
          <w:i w:val="0"/>
          <w:color w:val="6B727A"/>
          <w:sz w:val="25"/>
        </w:rPr>
        <w:t>Combined Technical Design Document, Architecture Diagram, Flow Diagram, Detailed Architecture Research, Test Plan, and Test Results</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2592"/>
            <w:tcMar>
              <w:top w:w="80" w:type="dxa"/>
              <w:start w:w="120" w:type="dxa"/>
              <w:bottom w:w="80" w:type="dxa"/>
              <w:end w:w="120" w:type="dxa"/>
            </w:tcMar>
            <w:shd w:fill="F2F4F7"/>
          </w:tcPr>
          <w:p>
            <w:pPr>
              <w:spacing w:before="0" w:after="0" w:line="240" w:lineRule="auto"/>
            </w:pPr>
            <w:r>
              <w:rPr>
                <w:rFonts w:ascii="Calibri" w:hAnsi="Calibri"/>
                <w:b/>
                <w:i w:val="0"/>
                <w:color w:val="444C56"/>
                <w:sz w:val="21"/>
              </w:rPr>
              <w:t>Field</w:t>
            </w:r>
          </w:p>
        </w:tc>
        <w:tc>
          <w:tcPr>
            <w:tcW w:type="dxa" w:w="6768"/>
            <w:tcMar>
              <w:top w:w="80" w:type="dxa"/>
              <w:start w:w="120" w:type="dxa"/>
              <w:bottom w:w="80" w:type="dxa"/>
              <w:end w:w="120" w:type="dxa"/>
            </w:tcMar>
            <w:shd w:fill="F2F4F7"/>
          </w:tcPr>
          <w:p>
            <w:pPr>
              <w:spacing w:before="0" w:after="0" w:line="240" w:lineRule="auto"/>
            </w:pPr>
            <w:r>
              <w:rPr>
                <w:rFonts w:ascii="Calibri" w:hAnsi="Calibri"/>
                <w:b/>
                <w:i w:val="0"/>
                <w:color w:val="444C56"/>
                <w:sz w:val="21"/>
              </w:rPr>
              <w:t>Value</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Asset</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Care Nova AI</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Version</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5.0.343</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Industry</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Life Sciences and Healthcare (LSH)</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Functional Area</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Data &amp; AI</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Agent Type</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Others</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Lifecycle Stage</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MVP</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Coverage Support Enabled</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Yes - insurance, claim, EOB, prior-authorization, and benefit-check support are included.</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Automated Code Coverage Report</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No explicit automated code-coverage report is enabled in the current repository.</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Document Date</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July 7, 2026</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Execution Window</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July 8, 2026 20:15 India Standard Time</w:t>
            </w:r>
          </w:p>
        </w:tc>
      </w:tr>
    </w:tbl>
    <w:p>
      <w:pPr>
        <w:pStyle w:val="Heading2"/>
        <w:spacing w:before="240" w:after="120" w:line="264" w:lineRule="auto"/>
      </w:pPr>
      <w:r>
        <w:rPr>
          <w:rFonts w:ascii="Calibri" w:hAnsi="Calibri"/>
          <w:b/>
          <w:i w:val="0"/>
          <w:color w:val="2E74B5"/>
          <w:sz w:val="26"/>
        </w:rPr>
        <w:t>Asset Registration Snapshot</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2592"/>
            <w:tcMar>
              <w:top w:w="80" w:type="dxa"/>
              <w:start w:w="120" w:type="dxa"/>
              <w:bottom w:w="80" w:type="dxa"/>
              <w:end w:w="120" w:type="dxa"/>
            </w:tcMar>
            <w:shd w:fill="F2F4F7"/>
          </w:tcPr>
          <w:p>
            <w:pPr>
              <w:spacing w:before="0" w:after="0" w:line="240" w:lineRule="auto"/>
            </w:pPr>
            <w:r>
              <w:rPr>
                <w:rFonts w:ascii="Calibri" w:hAnsi="Calibri"/>
                <w:b/>
                <w:i w:val="0"/>
                <w:color w:val="444C56"/>
                <w:sz w:val="21"/>
              </w:rPr>
              <w:t>Field</w:t>
            </w:r>
          </w:p>
        </w:tc>
        <w:tc>
          <w:tcPr>
            <w:tcW w:type="dxa" w:w="6768"/>
            <w:tcMar>
              <w:top w:w="80" w:type="dxa"/>
              <w:start w:w="120" w:type="dxa"/>
              <w:bottom w:w="80" w:type="dxa"/>
              <w:end w:w="120" w:type="dxa"/>
            </w:tcMar>
            <w:shd w:fill="F2F4F7"/>
          </w:tcPr>
          <w:p>
            <w:pPr>
              <w:spacing w:before="0" w:after="0" w:line="240" w:lineRule="auto"/>
            </w:pPr>
            <w:r>
              <w:rPr>
                <w:rFonts w:ascii="Calibri" w:hAnsi="Calibri"/>
                <w:b/>
                <w:i w:val="0"/>
                <w:color w:val="444C56"/>
                <w:sz w:val="21"/>
              </w:rPr>
              <w:t>Value</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Short Description / Use Cases</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Real-time local healthcare advisor for patient questions, vitals interpretation, medication safety, lab explanation, records support, insurance guidance, care transitions, claims readiness, prior-authorization drafts, GxP quality workflows, and MedTech compliance support.</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1-Line Asset Description</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Offline-first healthcare advisor and workflow assistant with governed specialist agents and deterministic safety boundaries.</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Component Dependencies on API</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None mandatory for standard local operation. Optional connectors: OpenAI-compatible Chat Completions API, Azure OpenAI API, MedlinePlus Connect API, RxNorm / RxNav API, openFDA Drug Label API, LOINC FHIR Terminology API, and SMART on FHIR APIs.</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Benefit Attained</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Primary current value case: Productivity Improvement through faster triage, draft generation, and care-workflow organization, with secondary user-experience and cost benefits from offline-first execution.</w:t>
            </w:r>
          </w:p>
        </w:tc>
      </w:tr>
      <w:tr>
        <w:tc>
          <w:tcPr>
            <w:tcW w:type="dxa" w:w="2592"/>
            <w:tcMar>
              <w:top w:w="80" w:type="dxa"/>
              <w:start w:w="120" w:type="dxa"/>
              <w:bottom w:w="80" w:type="dxa"/>
              <w:end w:w="120" w:type="dxa"/>
            </w:tcMar>
            <w:shd w:fill="F2F4F7"/>
          </w:tcPr>
          <w:p>
            <w:pPr>
              <w:spacing w:before="0" w:after="0" w:line="240" w:lineRule="auto"/>
              <w:jc w:val="left"/>
            </w:pPr>
            <w:r>
              <w:rPr>
                <w:rFonts w:ascii="Calibri" w:hAnsi="Calibri"/>
                <w:b/>
                <w:i w:val="0"/>
                <w:color w:val="444C56"/>
                <w:sz w:val="21"/>
              </w:rPr>
              <w:t>Quantitative Metric</w:t>
            </w:r>
          </w:p>
        </w:tc>
        <w:tc>
          <w:tcPr>
            <w:tcW w:type="dxa" w:w="6768"/>
            <w:tcMar>
              <w:top w:w="80" w:type="dxa"/>
              <w:start w:w="120" w:type="dxa"/>
              <w:bottom w:w="80" w:type="dxa"/>
              <w:end w:w="120" w:type="dxa"/>
            </w:tcMar>
          </w:tcPr>
          <w:p>
            <w:pPr>
              <w:spacing w:before="0" w:after="0" w:line="240" w:lineRule="auto"/>
            </w:pPr>
            <w:r>
              <w:rPr>
                <w:rFonts w:ascii="Calibri" w:hAnsi="Calibri"/>
                <w:b w:val="0"/>
                <w:i w:val="0"/>
                <w:color w:val="000000"/>
                <w:sz w:val="21"/>
              </w:rPr>
              <w:t>Current measured technical outcome: 4 of 4 validation gates passed, including 20 routed smoke-test scenarios and 61 required local model files verified. Business KPI baselines are not yet recorded in repository artifacts.</w:t>
            </w:r>
          </w:p>
        </w:tc>
      </w:tr>
    </w:tbl>
    <w:p>
      <w:pPr>
        <w:pStyle w:val="Heading2"/>
        <w:spacing w:before="240" w:after="120" w:line="264" w:lineRule="auto"/>
      </w:pPr>
      <w:r>
        <w:rPr>
          <w:rFonts w:ascii="Calibri" w:hAnsi="Calibri"/>
          <w:b/>
          <w:i w:val="0"/>
          <w:color w:val="2E74B5"/>
          <w:sz w:val="26"/>
        </w:rPr>
        <w:t>Included Deliverables</w:t>
      </w:r>
    </w:p>
    <w:p>
      <w:pPr>
        <w:pStyle w:val="ListBullet"/>
        <w:spacing w:before="0" w:after="80" w:line="264" w:lineRule="auto"/>
      </w:pPr>
      <w:r>
        <w:rPr>
          <w:rFonts w:ascii="Calibri" w:hAnsi="Calibri"/>
          <w:b w:val="0"/>
          <w:i w:val="0"/>
          <w:color w:val="000000"/>
          <w:sz w:val="22"/>
        </w:rPr>
        <w:t>Technical design summary covering architecture, data handling, APIs, safety boundaries, and deployment model.</w:t>
      </w:r>
    </w:p>
    <w:p>
      <w:pPr>
        <w:pStyle w:val="ListBullet"/>
        <w:spacing w:before="0" w:after="80" w:line="264" w:lineRule="auto"/>
      </w:pPr>
      <w:r>
        <w:rPr>
          <w:rFonts w:ascii="Calibri" w:hAnsi="Calibri"/>
          <w:b w:val="0"/>
          <w:i w:val="0"/>
          <w:color w:val="000000"/>
          <w:sz w:val="22"/>
        </w:rPr>
        <w:t>Architecture diagram showing UI, API, orchestration, agent, knowledge, persistence, and optional connector layers.</w:t>
      </w:r>
    </w:p>
    <w:p>
      <w:pPr>
        <w:pStyle w:val="ListBullet"/>
        <w:spacing w:before="0" w:after="80" w:line="264" w:lineRule="auto"/>
      </w:pPr>
      <w:r>
        <w:rPr>
          <w:rFonts w:ascii="Calibri" w:hAnsi="Calibri"/>
          <w:b w:val="0"/>
          <w:i w:val="0"/>
          <w:color w:val="000000"/>
          <w:sz w:val="22"/>
        </w:rPr>
        <w:t>Flow diagram describing the end-to-end patient-input to memory-update processing loop.</w:t>
      </w:r>
    </w:p>
    <w:p>
      <w:pPr>
        <w:pStyle w:val="ListBullet"/>
        <w:spacing w:before="0" w:after="80" w:line="264" w:lineRule="auto"/>
      </w:pPr>
      <w:r>
        <w:rPr>
          <w:rFonts w:ascii="Calibri" w:hAnsi="Calibri"/>
          <w:b w:val="0"/>
          <w:i w:val="0"/>
          <w:color w:val="000000"/>
          <w:sz w:val="22"/>
        </w:rPr>
        <w:t>Detailed architecture research appendix covering runtime behavior, persistence, knowledge retrieval, model routing, and source-file ownership.</w:t>
      </w:r>
    </w:p>
    <w:p>
      <w:pPr>
        <w:pStyle w:val="ListBullet"/>
        <w:spacing w:before="0" w:after="80" w:line="264" w:lineRule="auto"/>
      </w:pPr>
      <w:r>
        <w:rPr>
          <w:rFonts w:ascii="Calibri" w:hAnsi="Calibri"/>
          <w:b w:val="0"/>
          <w:i w:val="0"/>
          <w:color w:val="000000"/>
          <w:sz w:val="22"/>
        </w:rPr>
        <w:t>Test plan describing validation approach, entry criteria, suites, and scenario coverage.</w:t>
      </w:r>
    </w:p>
    <w:p>
      <w:pPr>
        <w:pStyle w:val="ListBullet"/>
        <w:spacing w:before="0" w:after="80" w:line="264" w:lineRule="auto"/>
      </w:pPr>
      <w:r>
        <w:rPr>
          <w:rFonts w:ascii="Calibri" w:hAnsi="Calibri"/>
          <w:b w:val="0"/>
          <w:i w:val="0"/>
          <w:color w:val="000000"/>
          <w:sz w:val="22"/>
        </w:rPr>
        <w:t>Executed test results based on current-run repository validations.</w:t>
      </w:r>
    </w:p>
    <w:p>
      <w:pPr>
        <w:pStyle w:val="Heading2"/>
        <w:spacing w:before="240" w:after="120" w:line="264" w:lineRule="auto"/>
      </w:pPr>
      <w:r>
        <w:rPr>
          <w:rFonts w:ascii="Calibri" w:hAnsi="Calibri"/>
          <w:b/>
          <w:i w:val="0"/>
          <w:color w:val="2E74B5"/>
          <w:sz w:val="26"/>
        </w:rPr>
        <w:t>Executive Summary</w:t>
      </w:r>
    </w:p>
    <w:p>
      <w:pPr>
        <w:spacing w:before="0" w:after="160" w:line="264" w:lineRule="auto"/>
      </w:pPr>
      <w:r>
        <w:rPr>
          <w:rFonts w:ascii="Calibri" w:hAnsi="Calibri"/>
          <w:b w:val="0"/>
          <w:i w:val="0"/>
          <w:color w:val="000000"/>
          <w:sz w:val="22"/>
        </w:rPr>
        <w:t>Care Nova AI is an offline-first healthcare intelligence asset that accepts patient questions, vitals, profile data, and prior context, then routes the request through governed specialist agents to produce safety-first guidance, care summaries, and healthcare or payer workflow support. The current package combines the core design, runtime flow, code-grounded architecture research, and current validation evidence into a single handoff artifact.</w:t>
      </w:r>
    </w:p>
    <w:p>
      <w:r>
        <w:br w:type="page"/>
      </w:r>
    </w:p>
    <w:p>
      <w:pPr>
        <w:pStyle w:val="Heading1"/>
        <w:spacing w:before="320" w:after="160" w:line="264" w:lineRule="auto"/>
      </w:pPr>
      <w:r>
        <w:rPr>
          <w:rFonts w:ascii="Calibri" w:hAnsi="Calibri"/>
          <w:b/>
          <w:i w:val="0"/>
          <w:color w:val="2E74B5"/>
          <w:sz w:val="32"/>
        </w:rPr>
        <w:t>1. Technical Design Document</w:t>
      </w:r>
    </w:p>
    <w:p>
      <w:pPr>
        <w:spacing w:before="0" w:after="160" w:line="264" w:lineRule="auto"/>
      </w:pPr>
      <w:r>
        <w:rPr>
          <w:rFonts w:ascii="Calibri" w:hAnsi="Calibri"/>
          <w:b w:val="0"/>
          <w:i w:val="0"/>
          <w:color w:val="000000"/>
          <w:sz w:val="22"/>
        </w:rPr>
        <w:t>This section describes the intended design of the Care Nova AI asset as implemented in the local repository. It focuses on runtime architecture, major components, responsibilities, data handling, APIs, deployment model, and safety boundaries.</w:t>
      </w:r>
    </w:p>
    <w:p>
      <w:pPr>
        <w:pStyle w:val="Heading2"/>
        <w:spacing w:before="240" w:after="120" w:line="264" w:lineRule="auto"/>
      </w:pPr>
      <w:r>
        <w:rPr>
          <w:rFonts w:ascii="Calibri" w:hAnsi="Calibri"/>
          <w:b/>
          <w:i w:val="0"/>
          <w:color w:val="2E74B5"/>
          <w:sz w:val="26"/>
        </w:rPr>
        <w:t>1.1 Purpose and Scope</w:t>
      </w:r>
    </w:p>
    <w:p>
      <w:pPr>
        <w:spacing w:before="0" w:after="120" w:line="264" w:lineRule="auto"/>
      </w:pPr>
      <w:r>
        <w:rPr>
          <w:rFonts w:ascii="Calibri" w:hAnsi="Calibri"/>
          <w:b w:val="0"/>
          <w:i w:val="0"/>
          <w:color w:val="000000"/>
          <w:sz w:val="22"/>
        </w:rPr>
        <w:t>The asset is designed as a real-time, offline-first healthcare advisor and workflow assistant. It supports patient guidance, vitals review, medication-safety questions, lab explanation, records support, insurance and payer workflows, care transitions, and bounded administrative draft generation. The system is explicitly positioned as decision support and document support rather than diagnosis or prescribing.</w:t>
      </w:r>
    </w:p>
    <w:p>
      <w:pPr>
        <w:pStyle w:val="Heading2"/>
        <w:spacing w:before="240" w:after="120" w:line="264" w:lineRule="auto"/>
      </w:pPr>
      <w:r>
        <w:rPr>
          <w:rFonts w:ascii="Calibri" w:hAnsi="Calibri"/>
          <w:b/>
          <w:i w:val="0"/>
          <w:color w:val="2E74B5"/>
          <w:sz w:val="26"/>
        </w:rPr>
        <w:t>1.2 Functional Capabilities</w:t>
      </w:r>
    </w:p>
    <w:p>
      <w:pPr>
        <w:pStyle w:val="ListBullet"/>
        <w:spacing w:before="0" w:after="80" w:line="264" w:lineRule="auto"/>
      </w:pPr>
      <w:r>
        <w:rPr>
          <w:rFonts w:ascii="Calibri" w:hAnsi="Calibri"/>
          <w:b w:val="0"/>
          <w:i w:val="0"/>
          <w:color w:val="000000"/>
          <w:sz w:val="22"/>
        </w:rPr>
        <w:t>General health question handling with grounded response synthesis.</w:t>
      </w:r>
    </w:p>
    <w:p>
      <w:pPr>
        <w:pStyle w:val="ListBullet"/>
        <w:spacing w:before="0" w:after="80" w:line="264" w:lineRule="auto"/>
      </w:pPr>
      <w:r>
        <w:rPr>
          <w:rFonts w:ascii="Calibri" w:hAnsi="Calibri"/>
          <w:b w:val="0"/>
          <w:i w:val="0"/>
          <w:color w:val="000000"/>
          <w:sz w:val="22"/>
        </w:rPr>
        <w:t>Vitals interpretation for blood pressure, blood sugar, pulse, oxygen saturation, and temperature.</w:t>
      </w:r>
    </w:p>
    <w:p>
      <w:pPr>
        <w:pStyle w:val="ListBullet"/>
        <w:spacing w:before="0" w:after="80" w:line="264" w:lineRule="auto"/>
      </w:pPr>
      <w:r>
        <w:rPr>
          <w:rFonts w:ascii="Calibri" w:hAnsi="Calibri"/>
          <w:b w:val="0"/>
          <w:i w:val="0"/>
          <w:color w:val="000000"/>
          <w:sz w:val="22"/>
        </w:rPr>
        <w:t>Medication safety support for missed-dose, interaction, and side-effect questions.</w:t>
      </w:r>
    </w:p>
    <w:p>
      <w:pPr>
        <w:pStyle w:val="ListBullet"/>
        <w:spacing w:before="0" w:after="80" w:line="264" w:lineRule="auto"/>
      </w:pPr>
      <w:r>
        <w:rPr>
          <w:rFonts w:ascii="Calibri" w:hAnsi="Calibri"/>
          <w:b w:val="0"/>
          <w:i w:val="0"/>
          <w:color w:val="000000"/>
          <w:sz w:val="22"/>
        </w:rPr>
        <w:t>Lab and report explanation in plain language.</w:t>
      </w:r>
    </w:p>
    <w:p>
      <w:pPr>
        <w:pStyle w:val="ListBullet"/>
        <w:spacing w:before="0" w:after="80" w:line="264" w:lineRule="auto"/>
      </w:pPr>
      <w:r>
        <w:rPr>
          <w:rFonts w:ascii="Calibri" w:hAnsi="Calibri"/>
          <w:b w:val="0"/>
          <w:i w:val="0"/>
          <w:color w:val="000000"/>
          <w:sz w:val="22"/>
        </w:rPr>
        <w:t>Lifestyle, wellness, mental wellness, records, insurance, and appointment support.</w:t>
      </w:r>
    </w:p>
    <w:p>
      <w:pPr>
        <w:pStyle w:val="ListBullet"/>
        <w:spacing w:before="0" w:after="80" w:line="264" w:lineRule="auto"/>
      </w:pPr>
      <w:r>
        <w:rPr>
          <w:rFonts w:ascii="Calibri" w:hAnsi="Calibri"/>
          <w:b w:val="0"/>
          <w:i w:val="0"/>
          <w:color w:val="000000"/>
          <w:sz w:val="22"/>
        </w:rPr>
        <w:t>Care transitions, claims operations, utilization-management, GxP quality, and MedTech compliance draft support.</w:t>
      </w:r>
    </w:p>
    <w:p>
      <w:pPr>
        <w:pStyle w:val="Heading2"/>
        <w:spacing w:before="240" w:after="120" w:line="264" w:lineRule="auto"/>
      </w:pPr>
      <w:r>
        <w:rPr>
          <w:rFonts w:ascii="Calibri" w:hAnsi="Calibri"/>
          <w:b/>
          <w:i w:val="0"/>
          <w:color w:val="2E74B5"/>
          <w:sz w:val="26"/>
        </w:rPr>
        <w:t>1.3 Component Responsibilities</w:t>
      </w:r>
    </w:p>
    <w:tbl>
      <w:tblPr>
        <w:tblStyle w:val="TableGrid"/>
        <w:tblW w:type="auto" w:w="0"/>
        <w:tblLayout w:type="fixed"/>
        <w:tblLook w:firstColumn="1" w:firstRow="1" w:lastColumn="0" w:lastRow="0" w:noHBand="0" w:noVBand="1" w:val="04A0"/>
      </w:tblPr>
      <w:tblGrid>
        <w:gridCol w:w="2016"/>
        <w:gridCol w:w="4824"/>
        <w:gridCol w:w="2520"/>
      </w:tblGrid>
      <w:tr>
        <w:trPr>
          <w:tblHeader w:val="true"/>
        </w:trPr>
        <w:tc>
          <w:tcPr>
            <w:tcW w:type="dxa" w:w="2016"/>
            <w:tcMar>
              <w:top w:w="80" w:type="dxa"/>
              <w:start w:w="120" w:type="dxa"/>
              <w:bottom w:w="80" w:type="dxa"/>
              <w:end w:w="120" w:type="dxa"/>
            </w:tcMar>
            <w:shd w:fill="F2F4F7"/>
          </w:tcPr>
          <w:p>
            <w:pPr>
              <w:spacing w:before="0" w:after="0" w:line="240" w:lineRule="auto"/>
            </w:pPr>
            <w:r>
              <w:rPr>
                <w:rFonts w:ascii="Calibri" w:hAnsi="Calibri"/>
                <w:b/>
                <w:i w:val="0"/>
                <w:color w:val="444C56"/>
                <w:sz w:val="21"/>
              </w:rPr>
              <w:t>Component</w:t>
            </w:r>
          </w:p>
        </w:tc>
        <w:tc>
          <w:tcPr>
            <w:tcW w:type="dxa" w:w="4824"/>
            <w:tcMar>
              <w:top w:w="80" w:type="dxa"/>
              <w:start w:w="120" w:type="dxa"/>
              <w:bottom w:w="80" w:type="dxa"/>
              <w:end w:w="120" w:type="dxa"/>
            </w:tcMar>
            <w:shd w:fill="F2F4F7"/>
          </w:tcPr>
          <w:p>
            <w:pPr>
              <w:spacing w:before="0" w:after="0" w:line="240" w:lineRule="auto"/>
            </w:pPr>
            <w:r>
              <w:rPr>
                <w:rFonts w:ascii="Calibri" w:hAnsi="Calibri"/>
                <w:b/>
                <w:i w:val="0"/>
                <w:color w:val="444C56"/>
                <w:sz w:val="21"/>
              </w:rPr>
              <w:t>Primary Responsibility</w:t>
            </w:r>
          </w:p>
        </w:tc>
        <w:tc>
          <w:tcPr>
            <w:tcW w:type="dxa" w:w="2520"/>
            <w:tcMar>
              <w:top w:w="80" w:type="dxa"/>
              <w:start w:w="120" w:type="dxa"/>
              <w:bottom w:w="80" w:type="dxa"/>
              <w:end w:w="120" w:type="dxa"/>
            </w:tcMar>
            <w:shd w:fill="F2F4F7"/>
          </w:tcPr>
          <w:p>
            <w:pPr>
              <w:spacing w:before="0" w:after="0" w:line="240" w:lineRule="auto"/>
            </w:pPr>
            <w:r>
              <w:rPr>
                <w:rFonts w:ascii="Calibri" w:hAnsi="Calibri"/>
                <w:b/>
                <w:i w:val="0"/>
                <w:color w:val="444C56"/>
                <w:sz w:val="21"/>
              </w:rPr>
              <w:t>Key Files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Web UI</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Captures profile, message, vitals, specialist inputs, and displays routed answers.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public/index.html, public/app.js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Local API Server</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Hosts health, readiness, analysis, memory, record, training, and supporting endpoints.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server.js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Health Engine</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Performs routing, risk scoring, synthesis, guardrails, and model blueprint generation.</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src/healthEngine.js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Specialist Agents</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Delivers route-specific outputs for RAG, pharmacy, alerts, scheduling, labs, records, insurance, and payer flows.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src/healthEngine.js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Persistence Layer</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Stores memory, records, knowledge graph state, and local training state.</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src/memoryStore.js, src/recordStore.js, src/knowledgeGraphStore.js, src/trainingEngine.js</w:t>
            </w:r>
          </w:p>
        </w:tc>
      </w:tr>
      <w:tr>
        <w:tc>
          <w:tcPr>
            <w:tcW w:type="dxa" w:w="2016"/>
            <w:tcMar>
              <w:top w:w="80" w:type="dxa"/>
              <w:start w:w="120" w:type="dxa"/>
              <w:bottom w:w="80" w:type="dxa"/>
              <w:end w:w="120" w:type="dxa"/>
            </w:tcMar>
          </w:tcPr>
          <w:p>
            <w:pPr>
              <w:spacing w:before="0" w:after="0" w:line="240" w:lineRule="auto"/>
            </w:pPr>
            <w:r>
              <w:rPr>
                <w:rFonts w:ascii="Calibri" w:hAnsi="Calibri"/>
                <w:b w:val="0"/>
                <w:i w:val="0"/>
                <w:color w:val="000000"/>
                <w:sz w:val="21"/>
              </w:rPr>
              <w:t>Knowledge and Reasoning</w:t>
            </w:r>
          </w:p>
        </w:tc>
        <w:tc>
          <w:tcPr>
            <w:tcW w:type="dxa" w:w="4824"/>
            <w:tcMar>
              <w:top w:w="80" w:type="dxa"/>
              <w:start w:w="120" w:type="dxa"/>
              <w:bottom w:w="80" w:type="dxa"/>
              <w:end w:w="120" w:type="dxa"/>
            </w:tcMar>
          </w:tcPr>
          <w:p>
            <w:pPr>
              <w:spacing w:before="0" w:after="0" w:line="240" w:lineRule="auto"/>
            </w:pPr>
            <w:r>
              <w:rPr>
                <w:rFonts w:ascii="Calibri" w:hAnsi="Calibri"/>
                <w:b w:val="0"/>
                <w:i w:val="0"/>
                <w:color w:val="000000"/>
                <w:sz w:val="21"/>
              </w:rPr>
              <w:t>Supplies offline medical knowledge, local AI scoring, optional external cache usage, and model routing.</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src/offlineMedicalDatabase.js, src/localAiEngine.js, src/externalKnowledgeStore.js, src/hybridModelRouter.js</w:t>
            </w:r>
          </w:p>
        </w:tc>
      </w:tr>
    </w:tbl>
    <w:p>
      <w:pPr>
        <w:pStyle w:val="Heading2"/>
        <w:spacing w:before="240" w:after="120" w:line="264" w:lineRule="auto"/>
      </w:pPr>
      <w:r>
        <w:rPr>
          <w:rFonts w:ascii="Calibri" w:hAnsi="Calibri"/>
          <w:b/>
          <w:i w:val="0"/>
          <w:color w:val="2E74B5"/>
          <w:sz w:val="26"/>
        </w:rPr>
        <w:t>1.4 Data Handling and APIs</w:t>
      </w:r>
    </w:p>
    <w:p>
      <w:pPr>
        <w:spacing w:before="0" w:after="120" w:line="264" w:lineRule="auto"/>
      </w:pPr>
      <w:r>
        <w:rPr>
          <w:rFonts w:ascii="Calibri" w:hAnsi="Calibri"/>
          <w:b w:val="0"/>
          <w:i w:val="0"/>
          <w:color w:val="000000"/>
          <w:sz w:val="22"/>
        </w:rPr>
        <w:t>The solution is offline-first. Normal local usage does not require mandatory external APIs. Core internal APIs include /api/analyze, /api/realtime, /api/memory, /api/records, /api/knowledge-graph, and /api/medicine/lookup. Optional connectors can be enabled for OpenAI-compatible or local model endpoints and trusted healthcare-reference services such as MedlinePlus Connect, RxNav/openFDA, and SMART on FHIR integrations.</w:t>
      </w:r>
    </w:p>
    <w:p>
      <w:pPr>
        <w:pStyle w:val="Heading2"/>
        <w:spacing w:before="240" w:after="120" w:line="264" w:lineRule="auto"/>
      </w:pPr>
      <w:r>
        <w:rPr>
          <w:rFonts w:ascii="Calibri" w:hAnsi="Calibri"/>
          <w:b/>
          <w:i w:val="0"/>
          <w:color w:val="2E74B5"/>
          <w:sz w:val="26"/>
        </w:rPr>
        <w:t>1.5 Safety and Non-Goals</w:t>
      </w:r>
    </w:p>
    <w:p>
      <w:pPr>
        <w:pStyle w:val="ListBullet"/>
        <w:spacing w:before="0" w:after="80" w:line="264" w:lineRule="auto"/>
      </w:pPr>
      <w:r>
        <w:rPr>
          <w:rFonts w:ascii="Calibri" w:hAnsi="Calibri"/>
          <w:b w:val="0"/>
          <w:i w:val="0"/>
          <w:color w:val="000000"/>
          <w:sz w:val="22"/>
        </w:rPr>
        <w:t>No diagnosis, no prescribing, and no dosage calculation.</w:t>
      </w:r>
    </w:p>
    <w:p>
      <w:pPr>
        <w:pStyle w:val="ListBullet"/>
        <w:spacing w:before="0" w:after="80" w:line="264" w:lineRule="auto"/>
      </w:pPr>
      <w:r>
        <w:rPr>
          <w:rFonts w:ascii="Calibri" w:hAnsi="Calibri"/>
          <w:b w:val="0"/>
          <w:i w:val="0"/>
          <w:color w:val="000000"/>
          <w:sz w:val="22"/>
        </w:rPr>
        <w:t>No live appointment booking, caregiver contact, or emergency calling.</w:t>
      </w:r>
    </w:p>
    <w:p>
      <w:pPr>
        <w:pStyle w:val="ListBullet"/>
        <w:spacing w:before="0" w:after="80" w:line="264" w:lineRule="auto"/>
      </w:pPr>
      <w:r>
        <w:rPr>
          <w:rFonts w:ascii="Calibri" w:hAnsi="Calibri"/>
          <w:b w:val="0"/>
          <w:i w:val="0"/>
          <w:color w:val="000000"/>
          <w:sz w:val="22"/>
        </w:rPr>
        <w:t>No claim payment, coverage, or prior-authorization decision finalization.</w:t>
      </w:r>
    </w:p>
    <w:p>
      <w:pPr>
        <w:pStyle w:val="ListBullet"/>
        <w:spacing w:before="0" w:after="80" w:line="264" w:lineRule="auto"/>
      </w:pPr>
      <w:r>
        <w:rPr>
          <w:rFonts w:ascii="Calibri" w:hAnsi="Calibri"/>
          <w:b w:val="0"/>
          <w:i w:val="0"/>
          <w:color w:val="000000"/>
          <w:sz w:val="22"/>
        </w:rPr>
        <w:t>No GxP release decision, regulatory submission, or complaint disposition finalization.</w:t>
      </w:r>
    </w:p>
    <w:p>
      <w:pPr>
        <w:pStyle w:val="ListBullet"/>
        <w:spacing w:before="0" w:after="80" w:line="264" w:lineRule="auto"/>
      </w:pPr>
      <w:r>
        <w:rPr>
          <w:rFonts w:ascii="Calibri" w:hAnsi="Calibri"/>
          <w:b w:val="0"/>
          <w:i w:val="0"/>
          <w:color w:val="000000"/>
          <w:sz w:val="22"/>
        </w:rPr>
        <w:t>Patient conversations improve local context continuity, but they do not self-train medical facts.</w:t>
      </w:r>
    </w:p>
    <w:p>
      <w:pPr>
        <w:pStyle w:val="Heading2"/>
        <w:spacing w:before="240" w:after="120" w:line="264" w:lineRule="auto"/>
      </w:pPr>
      <w:r>
        <w:rPr>
          <w:rFonts w:ascii="Calibri" w:hAnsi="Calibri"/>
          <w:b/>
          <w:i w:val="0"/>
          <w:color w:val="2E74B5"/>
          <w:sz w:val="26"/>
        </w:rPr>
        <w:t>1.6 Deployment Model</w:t>
      </w:r>
    </w:p>
    <w:p>
      <w:pPr>
        <w:pStyle w:val="ListBullet"/>
        <w:spacing w:before="0" w:after="80" w:line="264" w:lineRule="auto"/>
      </w:pPr>
      <w:r>
        <w:rPr>
          <w:rFonts w:ascii="Calibri" w:hAnsi="Calibri"/>
          <w:b w:val="0"/>
          <w:i w:val="0"/>
          <w:color w:val="000000"/>
          <w:sz w:val="22"/>
        </w:rPr>
        <w:t>Local-first Windows launch via start-care-nova.cmd or same-network access via start-care-nova-global.cmd.</w:t>
      </w:r>
    </w:p>
    <w:p>
      <w:pPr>
        <w:pStyle w:val="ListBullet"/>
        <w:spacing w:before="0" w:after="80" w:line="264" w:lineRule="auto"/>
      </w:pPr>
      <w:r>
        <w:rPr>
          <w:rFonts w:ascii="Calibri" w:hAnsi="Calibri"/>
          <w:b w:val="0"/>
          <w:i w:val="0"/>
          <w:color w:val="000000"/>
          <w:sz w:val="22"/>
        </w:rPr>
        <w:t>HTTP readiness and health endpoints exposed for deployment or hosting probes.</w:t>
      </w:r>
    </w:p>
    <w:p>
      <w:pPr>
        <w:pStyle w:val="ListBullet"/>
        <w:spacing w:before="0" w:after="80" w:line="264" w:lineRule="auto"/>
      </w:pPr>
      <w:r>
        <w:rPr>
          <w:rFonts w:ascii="Calibri" w:hAnsi="Calibri"/>
          <w:b w:val="0"/>
          <w:i w:val="0"/>
          <w:color w:val="000000"/>
          <w:sz w:val="22"/>
        </w:rPr>
        <w:t>Optional Docker and cloud deployment pathways represented in repository packaging.</w:t>
      </w:r>
    </w:p>
    <w:p>
      <w:pPr>
        <w:pStyle w:val="ListBullet"/>
        <w:spacing w:before="0" w:after="80" w:line="264" w:lineRule="auto"/>
      </w:pPr>
      <w:r>
        <w:rPr>
          <w:rFonts w:ascii="Calibri" w:hAnsi="Calibri"/>
          <w:b w:val="0"/>
          <w:i w:val="0"/>
          <w:color w:val="000000"/>
          <w:sz w:val="22"/>
        </w:rPr>
        <w:t>Persistent local storage for memory, records, graph state, training state, and offline source packs.</w:t>
      </w:r>
    </w:p>
    <w:p>
      <w:r>
        <w:br w:type="page"/>
      </w:r>
    </w:p>
    <w:p>
      <w:pPr>
        <w:pStyle w:val="Heading1"/>
        <w:spacing w:before="320" w:after="160" w:line="264" w:lineRule="auto"/>
      </w:pPr>
      <w:r>
        <w:rPr>
          <w:rFonts w:ascii="Calibri" w:hAnsi="Calibri"/>
          <w:b/>
          <w:i w:val="0"/>
          <w:color w:val="2E74B5"/>
          <w:sz w:val="32"/>
        </w:rPr>
        <w:t>2. Architecture Diagram</w:t>
      </w:r>
    </w:p>
    <w:p>
      <w:pPr>
        <w:spacing w:before="0" w:after="160" w:line="264" w:lineRule="auto"/>
      </w:pPr>
      <w:r>
        <w:rPr>
          <w:rFonts w:ascii="Calibri" w:hAnsi="Calibri"/>
          <w:b w:val="0"/>
          <w:i w:val="0"/>
          <w:color w:val="000000"/>
          <w:sz w:val="22"/>
        </w:rPr>
        <w:t>The following diagram and layer summary describe the repository's current runtime architecture.</w:t>
      </w:r>
    </w:p>
    <w:tbl>
      <w:tblPr>
        <w:tblStyle w:val="TableGrid"/>
        <w:tblW w:type="auto" w:w="0"/>
        <w:tblLayout w:type="fixed"/>
        <w:tblLook w:firstColumn="1" w:firstRow="1" w:lastColumn="0" w:lastRow="0" w:noHBand="0" w:noVBand="1" w:val="04A0"/>
      </w:tblPr>
      <w:tblGrid>
        <w:gridCol w:w="9360"/>
      </w:tblGrid>
      <w:tr>
        <w:trPr>
          <w:tblHeader w:val="true"/>
        </w:trPr>
        <w:tc>
          <w:tcPr>
            <w:tcW w:type="dxa" w:w="9360"/>
            <w:tcMar>
              <w:top w:w="80" w:type="dxa"/>
              <w:start w:w="120" w:type="dxa"/>
              <w:bottom w:w="80" w:type="dxa"/>
              <w:end w:w="120" w:type="dxa"/>
            </w:tcMar>
            <w:shd w:fill="F2F4F7"/>
          </w:tcPr>
          <w:p>
            <w:pPr>
              <w:spacing w:before="0" w:after="0" w:line="240" w:lineRule="auto"/>
            </w:pPr>
            <w:r>
              <w:rPr>
                <w:rFonts w:ascii="Calibri" w:hAnsi="Calibri"/>
                <w:b/>
                <w:i w:val="0"/>
                <w:color w:val="444C56"/>
                <w:sz w:val="21"/>
              </w:rPr>
              <w:t>Figure 1. Runtime Architecture</w:t>
            </w:r>
          </w:p>
        </w:tc>
      </w:tr>
      <w:tr>
        <w:tc>
          <w:tcPr>
            <w:tcW w:type="dxa" w:w="9360"/>
            <w:tcMar>
              <w:top w:w="80" w:type="dxa"/>
              <w:start w:w="120" w:type="dxa"/>
              <w:bottom w:w="80" w:type="dxa"/>
              <w:end w:w="120" w:type="dxa"/>
            </w:tcMar>
            <w:shd w:fill="F7F9FC"/>
          </w:tcPr>
          <w:p>
            <w:pPr>
              <w:spacing w:before="0" w:after="0" w:line="240" w:lineRule="auto"/>
              <w:jc w:val="left"/>
            </w:pPr>
            <w:r>
              <w:rPr>
                <w:rFonts w:ascii="Courier New" w:hAnsi="Courier New"/>
                <w:b w:val="0"/>
                <w:i w:val="0"/>
                <w:color w:val="000000"/>
                <w:sz w:val="19"/>
              </w:rPr>
              <w:t>[ Presentation and Workspace UI ]</w:t>
              <w:br/>
            </w:r>
            <w:r>
              <w:rPr>
                <w:rFonts w:ascii="Courier New" w:hAnsi="Courier New"/>
                <w:b w:val="0"/>
                <w:i w:val="0"/>
                <w:color w:val="000000"/>
                <w:sz w:val="19"/>
              </w:rPr>
              <w:t xml:space="preserve">  public/index.html, public/app.js</w:t>
              <w:br/>
            </w:r>
            <w:r>
              <w:rPr>
                <w:rFonts w:ascii="Courier New" w:hAnsi="Courier New"/>
                <w:b w:val="0"/>
                <w:i w:val="0"/>
                <w:color w:val="000000"/>
                <w:sz w:val="19"/>
              </w:rPr>
              <w:t xml:space="preserve">                 |</w:t>
              <w:br/>
            </w:r>
            <w:r>
              <w:rPr>
                <w:rFonts w:ascii="Courier New" w:hAnsi="Courier New"/>
                <w:b w:val="0"/>
                <w:i w:val="0"/>
                <w:color w:val="000000"/>
                <w:sz w:val="19"/>
              </w:rPr>
              <w:t>[ Local API Server ]</w:t>
              <w:br/>
            </w:r>
            <w:r>
              <w:rPr>
                <w:rFonts w:ascii="Courier New" w:hAnsi="Courier New"/>
                <w:b w:val="0"/>
                <w:i w:val="0"/>
                <w:color w:val="000000"/>
                <w:sz w:val="19"/>
              </w:rPr>
              <w:t xml:space="preserve">  server.js</w:t>
              <w:br/>
            </w:r>
            <w:r>
              <w:rPr>
                <w:rFonts w:ascii="Courier New" w:hAnsi="Courier New"/>
                <w:b w:val="0"/>
                <w:i w:val="0"/>
                <w:color w:val="000000"/>
                <w:sz w:val="19"/>
              </w:rPr>
              <w:t xml:space="preserve">                 |</w:t>
              <w:br/>
            </w:r>
            <w:r>
              <w:rPr>
                <w:rFonts w:ascii="Courier New" w:hAnsi="Courier New"/>
                <w:b w:val="0"/>
                <w:i w:val="0"/>
                <w:color w:val="000000"/>
                <w:sz w:val="19"/>
              </w:rPr>
              <w:t>[ Orchestration and Routing ]</w:t>
              <w:br/>
            </w:r>
            <w:r>
              <w:rPr>
                <w:rFonts w:ascii="Courier New" w:hAnsi="Courier New"/>
                <w:b w:val="0"/>
                <w:i w:val="0"/>
                <w:color w:val="000000"/>
                <w:sz w:val="19"/>
              </w:rPr>
              <w:t xml:space="preserve">  healthEngine.js, agenticRuntime.js, hybridModelRouter.js</w:t>
              <w:br/>
            </w:r>
            <w:r>
              <w:rPr>
                <w:rFonts w:ascii="Courier New" w:hAnsi="Courier New"/>
                <w:b w:val="0"/>
                <w:i w:val="0"/>
                <w:color w:val="000000"/>
                <w:sz w:val="19"/>
              </w:rPr>
              <w:t xml:space="preserve">                 |</w:t>
              <w:br/>
            </w:r>
            <w:r>
              <w:rPr>
                <w:rFonts w:ascii="Courier New" w:hAnsi="Courier New"/>
                <w:b w:val="0"/>
                <w:i w:val="0"/>
                <w:color w:val="000000"/>
                <w:sz w:val="19"/>
              </w:rPr>
              <w:t>+-----------------------------------------------------------+</w:t>
              <w:br/>
            </w:r>
            <w:r>
              <w:rPr>
                <w:rFonts w:ascii="Courier New" w:hAnsi="Courier New"/>
                <w:b w:val="0"/>
                <w:i w:val="0"/>
                <w:color w:val="000000"/>
                <w:sz w:val="19"/>
              </w:rPr>
              <w:t>| Specialist Agents: RAG | Pharmacy | Scheduling | Alert   |</w:t>
              <w:br/>
            </w:r>
            <w:r>
              <w:rPr>
                <w:rFonts w:ascii="Courier New" w:hAnsi="Courier New"/>
                <w:b w:val="0"/>
                <w:i w:val="0"/>
                <w:color w:val="000000"/>
                <w:sz w:val="19"/>
              </w:rPr>
              <w:t>| Labs | Lifestyle | Wellness | Records | Insurance        |</w:t>
              <w:br/>
            </w:r>
            <w:r>
              <w:rPr>
                <w:rFonts w:ascii="Courier New" w:hAnsi="Courier New"/>
                <w:b w:val="0"/>
                <w:i w:val="0"/>
                <w:color w:val="000000"/>
                <w:sz w:val="19"/>
              </w:rPr>
              <w:t>| Care Transitions | Claims Ops | Utilization | GxP | MDT  |</w:t>
              <w:br/>
            </w:r>
            <w:r>
              <w:rPr>
                <w:rFonts w:ascii="Courier New" w:hAnsi="Courier New"/>
                <w:b w:val="0"/>
                <w:i w:val="0"/>
                <w:color w:val="000000"/>
                <w:sz w:val="19"/>
              </w:rPr>
              <w:t>+-----------------------------------------------------------+</w:t>
              <w:br/>
            </w:r>
            <w:r>
              <w:rPr>
                <w:rFonts w:ascii="Courier New" w:hAnsi="Courier New"/>
                <w:b w:val="0"/>
                <w:i w:val="0"/>
                <w:color w:val="000000"/>
                <w:sz w:val="19"/>
              </w:rPr>
              <w:t xml:space="preserve">                 |</w:t>
              <w:br/>
            </w:r>
            <w:r>
              <w:rPr>
                <w:rFonts w:ascii="Courier New" w:hAnsi="Courier New"/>
                <w:b w:val="0"/>
                <w:i w:val="0"/>
                <w:color w:val="000000"/>
                <w:sz w:val="19"/>
              </w:rPr>
              <w:t>[ Knowledge and Reasoning Layer ]</w:t>
              <w:br/>
            </w:r>
            <w:r>
              <w:rPr>
                <w:rFonts w:ascii="Courier New" w:hAnsi="Courier New"/>
                <w:b w:val="0"/>
                <w:i w:val="0"/>
                <w:color w:val="000000"/>
                <w:sz w:val="19"/>
              </w:rPr>
              <w:t xml:space="preserve">  offlineMedicalDatabase.js, localAiEngine.js,</w:t>
              <w:br/>
            </w:r>
            <w:r>
              <w:rPr>
                <w:rFonts w:ascii="Courier New" w:hAnsi="Courier New"/>
                <w:b w:val="0"/>
                <w:i w:val="0"/>
                <w:color w:val="000000"/>
                <w:sz w:val="19"/>
              </w:rPr>
              <w:t xml:space="preserve">  externalKnowledgeStore.js, medicineLookupStore.js,</w:t>
              <w:br/>
            </w:r>
            <w:r>
              <w:rPr>
                <w:rFonts w:ascii="Courier New" w:hAnsi="Courier New"/>
                <w:b w:val="0"/>
                <w:i w:val="0"/>
                <w:color w:val="000000"/>
                <w:sz w:val="19"/>
              </w:rPr>
              <w:t xml:space="preserve">  productIntelligence.js</w:t>
              <w:br/>
            </w:r>
            <w:r>
              <w:rPr>
                <w:rFonts w:ascii="Courier New" w:hAnsi="Courier New"/>
                <w:b w:val="0"/>
                <w:i w:val="0"/>
                <w:color w:val="000000"/>
                <w:sz w:val="19"/>
              </w:rPr>
              <w:t xml:space="preserve">                 |</w:t>
              <w:br/>
            </w:r>
            <w:r>
              <w:rPr>
                <w:rFonts w:ascii="Courier New" w:hAnsi="Courier New"/>
                <w:b w:val="0"/>
                <w:i w:val="0"/>
                <w:color w:val="000000"/>
                <w:sz w:val="19"/>
              </w:rPr>
              <w:t>[ Persistence and Local State ]</w:t>
              <w:br/>
            </w:r>
            <w:r>
              <w:rPr>
                <w:rFonts w:ascii="Courier New" w:hAnsi="Courier New"/>
                <w:b w:val="0"/>
                <w:i w:val="0"/>
                <w:color w:val="000000"/>
                <w:sz w:val="19"/>
              </w:rPr>
              <w:t xml:space="preserve">  memoryStore.js, recordStore.js, knowledgeGraphStore.js,</w:t>
              <w:br/>
            </w:r>
            <w:r>
              <w:rPr>
                <w:rFonts w:ascii="Courier New" w:hAnsi="Courier New"/>
                <w:b w:val="0"/>
                <w:i w:val="0"/>
                <w:color w:val="000000"/>
                <w:sz w:val="19"/>
              </w:rPr>
              <w:t xml:space="preserve">  trainingEngine.js, localDataMirror.js</w:t>
              <w:br/>
            </w:r>
            <w:r>
              <w:rPr>
                <w:rFonts w:ascii="Courier New" w:hAnsi="Courier New"/>
                <w:b w:val="0"/>
                <w:i w:val="0"/>
                <w:color w:val="000000"/>
                <w:sz w:val="19"/>
              </w:rPr>
              <w:t xml:space="preserve">                 |</w:t>
              <w:br/>
            </w:r>
            <w:r>
              <w:rPr>
                <w:rFonts w:ascii="Courier New" w:hAnsi="Courier New"/>
                <w:b w:val="0"/>
                <w:i w:val="0"/>
                <w:color w:val="000000"/>
                <w:sz w:val="19"/>
              </w:rPr>
              <w:t>[ Optional Connectors ]</w:t>
              <w:br/>
            </w:r>
            <w:r>
              <w:rPr>
                <w:rFonts w:ascii="Courier New" w:hAnsi="Courier New"/>
                <w:b w:val="0"/>
                <w:i w:val="0"/>
                <w:color w:val="000000"/>
                <w:sz w:val="19"/>
              </w:rPr>
              <w:t xml:space="preserve">  OpenAI-compatible LLMs, Ollama, LM Studio,</w:t>
              <w:br/>
            </w:r>
            <w:r>
              <w:rPr>
                <w:rFonts w:ascii="Courier New" w:hAnsi="Courier New"/>
                <w:b w:val="0"/>
                <w:i w:val="0"/>
                <w:color w:val="000000"/>
                <w:sz w:val="19"/>
              </w:rPr>
              <w:t xml:space="preserve">  MedlinePlus, RxNav/openFDA, SMART on FHIR</w:t>
            </w:r>
          </w:p>
        </w:tc>
      </w:tr>
    </w:tbl>
    <w:p>
      <w:pPr>
        <w:pStyle w:val="Heading2"/>
        <w:spacing w:before="240" w:after="120" w:line="264" w:lineRule="auto"/>
      </w:pPr>
      <w:r>
        <w:rPr>
          <w:rFonts w:ascii="Calibri" w:hAnsi="Calibri"/>
          <w:b/>
          <w:i w:val="0"/>
          <w:color w:val="2E74B5"/>
          <w:sz w:val="26"/>
        </w:rPr>
        <w:t>2.1 Layer Summary</w:t>
      </w:r>
    </w:p>
    <w:tbl>
      <w:tblPr>
        <w:tblStyle w:val="TableGrid"/>
        <w:tblW w:type="auto" w:w="0"/>
        <w:tblLayout w:type="fixed"/>
        <w:tblLook w:firstColumn="1" w:firstRow="1" w:lastColumn="0" w:lastRow="0" w:noHBand="0" w:noVBand="1" w:val="04A0"/>
      </w:tblPr>
      <w:tblGrid>
        <w:gridCol w:w="1872"/>
        <w:gridCol w:w="3744"/>
        <w:gridCol w:w="3744"/>
      </w:tblGrid>
      <w:tr>
        <w:trPr>
          <w:tblHeader w:val="true"/>
        </w:trPr>
        <w:tc>
          <w:tcPr>
            <w:tcW w:type="dxa" w:w="1872"/>
            <w:tcMar>
              <w:top w:w="80" w:type="dxa"/>
              <w:start w:w="120" w:type="dxa"/>
              <w:bottom w:w="80" w:type="dxa"/>
              <w:end w:w="120" w:type="dxa"/>
            </w:tcMar>
            <w:shd w:fill="F2F4F7"/>
          </w:tcPr>
          <w:p>
            <w:pPr>
              <w:spacing w:before="0" w:after="0" w:line="240" w:lineRule="auto"/>
            </w:pPr>
            <w:r>
              <w:rPr>
                <w:rFonts w:ascii="Calibri" w:hAnsi="Calibri"/>
                <w:b/>
                <w:i w:val="0"/>
                <w:color w:val="444C56"/>
                <w:sz w:val="21"/>
              </w:rPr>
              <w:t>Layer</w:t>
            </w:r>
          </w:p>
        </w:tc>
        <w:tc>
          <w:tcPr>
            <w:tcW w:type="dxa" w:w="3744"/>
            <w:tcMar>
              <w:top w:w="80" w:type="dxa"/>
              <w:start w:w="120" w:type="dxa"/>
              <w:bottom w:w="80" w:type="dxa"/>
              <w:end w:w="120" w:type="dxa"/>
            </w:tcMar>
            <w:shd w:fill="F2F4F7"/>
          </w:tcPr>
          <w:p>
            <w:pPr>
              <w:spacing w:before="0" w:after="0" w:line="240" w:lineRule="auto"/>
            </w:pPr>
            <w:r>
              <w:rPr>
                <w:rFonts w:ascii="Calibri" w:hAnsi="Calibri"/>
                <w:b/>
                <w:i w:val="0"/>
                <w:color w:val="444C56"/>
                <w:sz w:val="21"/>
              </w:rPr>
              <w:t>Contained Components</w:t>
            </w:r>
          </w:p>
        </w:tc>
        <w:tc>
          <w:tcPr>
            <w:tcW w:type="dxa" w:w="3744"/>
            <w:tcMar>
              <w:top w:w="80" w:type="dxa"/>
              <w:start w:w="120" w:type="dxa"/>
              <w:bottom w:w="80" w:type="dxa"/>
              <w:end w:w="120" w:type="dxa"/>
            </w:tcMar>
            <w:shd w:fill="F2F4F7"/>
          </w:tcPr>
          <w:p>
            <w:pPr>
              <w:spacing w:before="0" w:after="0" w:line="240" w:lineRule="auto"/>
            </w:pPr>
            <w:r>
              <w:rPr>
                <w:rFonts w:ascii="Calibri" w:hAnsi="Calibri"/>
                <w:b/>
                <w:i w:val="0"/>
                <w:color w:val="444C56"/>
                <w:sz w:val="21"/>
              </w:rPr>
              <w:t>Purpose</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Experience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Browser UI, workspace tabs, specialist forms</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Captures user intent and renders structured responses.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Service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HTTP server and local endpoints</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Exposes analysis, readiness, persistence, and utility APIs.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Orchestration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Health engine, runtime policy, model router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Determines route, risk, and response assembly path.</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Domain Agent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General, pharmacy, scheduling, alert, labs, payer, and quality agents</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Generates bounded outputs for each domain workflow.</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Knowledge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Offline DB, local AI scoring, external cache status</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Supplies evidence, ranking, and trusted-source context.</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State Layer</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Memory, records, graph, training, and local mirror stores</w:t>
            </w:r>
          </w:p>
        </w:tc>
        <w:tc>
          <w:tcPr>
            <w:tcW w:type="dxa" w:w="3744"/>
            <w:tcMar>
              <w:top w:w="80" w:type="dxa"/>
              <w:start w:w="120" w:type="dxa"/>
              <w:bottom w:w="80" w:type="dxa"/>
              <w:end w:w="120" w:type="dxa"/>
            </w:tcMar>
          </w:tcPr>
          <w:p>
            <w:pPr>
              <w:spacing w:before="0" w:after="0" w:line="240" w:lineRule="auto"/>
            </w:pPr>
            <w:r>
              <w:rPr>
                <w:rFonts w:ascii="Calibri" w:hAnsi="Calibri"/>
                <w:b w:val="0"/>
                <w:i w:val="0"/>
                <w:color w:val="000000"/>
                <w:sz w:val="21"/>
              </w:rPr>
              <w:t>Preserves continuity and operational artifacts across sessions.</w:t>
            </w:r>
          </w:p>
        </w:tc>
      </w:tr>
    </w:tbl>
    <w:p>
      <w:r>
        <w:br w:type="page"/>
      </w:r>
    </w:p>
    <w:p>
      <w:pPr>
        <w:pStyle w:val="Heading1"/>
        <w:spacing w:before="320" w:after="160" w:line="264" w:lineRule="auto"/>
      </w:pPr>
      <w:r>
        <w:rPr>
          <w:rFonts w:ascii="Calibri" w:hAnsi="Calibri"/>
          <w:b/>
          <w:i w:val="0"/>
          <w:color w:val="2E74B5"/>
          <w:sz w:val="32"/>
        </w:rPr>
        <w:t>3. Flow Diagram</w:t>
      </w:r>
    </w:p>
    <w:p>
      <w:pPr>
        <w:spacing w:before="0" w:after="160" w:line="264" w:lineRule="auto"/>
      </w:pPr>
      <w:r>
        <w:rPr>
          <w:rFonts w:ascii="Calibri" w:hAnsi="Calibri"/>
          <w:b w:val="0"/>
          <w:i w:val="0"/>
          <w:color w:val="000000"/>
          <w:sz w:val="22"/>
        </w:rPr>
        <w:t>The processing loop below captures the primary runtime path from patient input through response generation and memory update.</w:t>
      </w:r>
    </w:p>
    <w:tbl>
      <w:tblPr>
        <w:tblStyle w:val="TableGrid"/>
        <w:tblW w:type="auto" w:w="0"/>
        <w:tblLayout w:type="fixed"/>
        <w:tblLook w:firstColumn="1" w:firstRow="1" w:lastColumn="0" w:lastRow="0" w:noHBand="0" w:noVBand="1" w:val="04A0"/>
      </w:tblPr>
      <w:tblGrid>
        <w:gridCol w:w="9360"/>
      </w:tblGrid>
      <w:tr>
        <w:trPr>
          <w:tblHeader w:val="true"/>
        </w:trPr>
        <w:tc>
          <w:tcPr>
            <w:tcW w:type="dxa" w:w="9360"/>
            <w:tcMar>
              <w:top w:w="80" w:type="dxa"/>
              <w:start w:w="120" w:type="dxa"/>
              <w:bottom w:w="80" w:type="dxa"/>
              <w:end w:w="120" w:type="dxa"/>
            </w:tcMar>
            <w:shd w:fill="F2F4F7"/>
          </w:tcPr>
          <w:p>
            <w:pPr>
              <w:spacing w:before="0" w:after="0" w:line="240" w:lineRule="auto"/>
            </w:pPr>
            <w:r>
              <w:rPr>
                <w:rFonts w:ascii="Calibri" w:hAnsi="Calibri"/>
                <w:b/>
                <w:i w:val="0"/>
                <w:color w:val="444C56"/>
                <w:sz w:val="21"/>
              </w:rPr>
              <w:t>Figure 2. Primary Processing Flow</w:t>
            </w:r>
          </w:p>
        </w:tc>
      </w:tr>
      <w:tr>
        <w:tc>
          <w:tcPr>
            <w:tcW w:type="dxa" w:w="9360"/>
            <w:tcMar>
              <w:top w:w="80" w:type="dxa"/>
              <w:start w:w="120" w:type="dxa"/>
              <w:bottom w:w="80" w:type="dxa"/>
              <w:end w:w="120" w:type="dxa"/>
            </w:tcMar>
            <w:shd w:fill="F7F9FC"/>
          </w:tcPr>
          <w:p>
            <w:pPr>
              <w:spacing w:before="0" w:after="0" w:line="240" w:lineRule="auto"/>
              <w:jc w:val="left"/>
            </w:pPr>
            <w:r>
              <w:rPr>
                <w:rFonts w:ascii="Courier New" w:hAnsi="Courier New"/>
                <w:b w:val="0"/>
                <w:i w:val="0"/>
                <w:color w:val="000000"/>
                <w:sz w:val="19"/>
              </w:rPr>
              <w:t>[1] Patient Input</w:t>
              <w:br/>
            </w:r>
            <w:r>
              <w:rPr>
                <w:rFonts w:ascii="Courier New" w:hAnsi="Courier New"/>
                <w:b w:val="0"/>
                <w:i w:val="0"/>
                <w:color w:val="000000"/>
                <w:sz w:val="19"/>
              </w:rPr>
              <w:t xml:space="preserve">        |</w:t>
              <w:br/>
            </w:r>
            <w:r>
              <w:rPr>
                <w:rFonts w:ascii="Courier New" w:hAnsi="Courier New"/>
                <w:b w:val="0"/>
                <w:i w:val="0"/>
                <w:color w:val="000000"/>
                <w:sz w:val="19"/>
              </w:rPr>
              <w:t>[2] Memory Store Load</w:t>
              <w:br/>
            </w:r>
            <w:r>
              <w:rPr>
                <w:rFonts w:ascii="Courier New" w:hAnsi="Courier New"/>
                <w:b w:val="0"/>
                <w:i w:val="0"/>
                <w:color w:val="000000"/>
                <w:sz w:val="19"/>
              </w:rPr>
              <w:t xml:space="preserve">        |</w:t>
              <w:br/>
            </w:r>
            <w:r>
              <w:rPr>
                <w:rFonts w:ascii="Courier New" w:hAnsi="Courier New"/>
                <w:b w:val="0"/>
                <w:i w:val="0"/>
                <w:color w:val="000000"/>
                <w:sz w:val="19"/>
              </w:rPr>
              <w:t>[3] Intent Classifier</w:t>
              <w:br/>
            </w:r>
            <w:r>
              <w:rPr>
                <w:rFonts w:ascii="Courier New" w:hAnsi="Courier New"/>
                <w:b w:val="0"/>
                <w:i w:val="0"/>
                <w:color w:val="000000"/>
                <w:sz w:val="19"/>
              </w:rPr>
              <w:t xml:space="preserve">        |</w:t>
              <w:br/>
            </w:r>
            <w:r>
              <w:rPr>
                <w:rFonts w:ascii="Courier New" w:hAnsi="Courier New"/>
                <w:b w:val="0"/>
                <w:i w:val="0"/>
                <w:color w:val="000000"/>
                <w:sz w:val="19"/>
              </w:rPr>
              <w:t xml:space="preserve">   +----+----+-------------------------+</w:t>
              <w:br/>
            </w:r>
            <w:r>
              <w:rPr>
                <w:rFonts w:ascii="Courier New" w:hAnsi="Courier New"/>
                <w:b w:val="0"/>
                <w:i w:val="0"/>
                <w:color w:val="000000"/>
                <w:sz w:val="19"/>
              </w:rPr>
              <w:t xml:space="preserve">   |         |                         |</w:t>
              <w:br/>
            </w:r>
            <w:r>
              <w:rPr>
                <w:rFonts w:ascii="Courier New" w:hAnsi="Courier New"/>
                <w:b w:val="0"/>
                <w:i w:val="0"/>
                <w:color w:val="000000"/>
                <w:sz w:val="19"/>
              </w:rPr>
              <w:t>[RAG]  [Pharmacy]  [Scheduling/Alert/Other Specialist]</w:t>
              <w:br/>
            </w:r>
            <w:r>
              <w:rPr>
                <w:rFonts w:ascii="Courier New" w:hAnsi="Courier New"/>
                <w:b w:val="0"/>
                <w:i w:val="0"/>
                <w:color w:val="000000"/>
                <w:sz w:val="19"/>
              </w:rPr>
              <w:t xml:space="preserve">   \         |                         /</w:t>
              <w:br/>
            </w:r>
            <w:r>
              <w:rPr>
                <w:rFonts w:ascii="Courier New" w:hAnsi="Courier New"/>
                <w:b w:val="0"/>
                <w:i w:val="0"/>
                <w:color w:val="000000"/>
                <w:sz w:val="19"/>
              </w:rPr>
              <w:t xml:space="preserve">    +--------+------------------------+</w:t>
              <w:br/>
            </w:r>
            <w:r>
              <w:rPr>
                <w:rFonts w:ascii="Courier New" w:hAnsi="Courier New"/>
                <w:b w:val="0"/>
                <w:i w:val="0"/>
                <w:color w:val="000000"/>
                <w:sz w:val="19"/>
              </w:rPr>
              <w:t xml:space="preserve">                 |</w:t>
              <w:br/>
            </w:r>
            <w:r>
              <w:rPr>
                <w:rFonts w:ascii="Courier New" w:hAnsi="Courier New"/>
                <w:b w:val="0"/>
                <w:i w:val="0"/>
                <w:color w:val="000000"/>
                <w:sz w:val="19"/>
              </w:rPr>
              <w:t>[5] Response Synthesizer</w:t>
              <w:br/>
            </w:r>
            <w:r>
              <w:rPr>
                <w:rFonts w:ascii="Courier New" w:hAnsi="Courier New"/>
                <w:b w:val="0"/>
                <w:i w:val="0"/>
                <w:color w:val="000000"/>
                <w:sz w:val="19"/>
              </w:rPr>
              <w:t xml:space="preserve">                 |</w:t>
              <w:br/>
            </w:r>
            <w:r>
              <w:rPr>
                <w:rFonts w:ascii="Courier New" w:hAnsi="Courier New"/>
                <w:b w:val="0"/>
                <w:i w:val="0"/>
                <w:color w:val="000000"/>
                <w:sz w:val="19"/>
              </w:rPr>
              <w:t>[6] Safety and Guardrails</w:t>
              <w:br/>
            </w:r>
            <w:r>
              <w:rPr>
                <w:rFonts w:ascii="Courier New" w:hAnsi="Courier New"/>
                <w:b w:val="0"/>
                <w:i w:val="0"/>
                <w:color w:val="000000"/>
                <w:sz w:val="19"/>
              </w:rPr>
              <w:t xml:space="preserve">                 |</w:t>
              <w:br/>
            </w:r>
            <w:r>
              <w:rPr>
                <w:rFonts w:ascii="Courier New" w:hAnsi="Courier New"/>
                <w:b w:val="0"/>
                <w:i w:val="0"/>
                <w:color w:val="000000"/>
                <w:sz w:val="19"/>
              </w:rPr>
              <w:t>[7] Patient Reply</w:t>
              <w:br/>
            </w:r>
            <w:r>
              <w:rPr>
                <w:rFonts w:ascii="Courier New" w:hAnsi="Courier New"/>
                <w:b w:val="0"/>
                <w:i w:val="0"/>
                <w:color w:val="000000"/>
                <w:sz w:val="19"/>
              </w:rPr>
              <w:t xml:space="preserve">                 |</w:t>
              <w:br/>
            </w:r>
            <w:r>
              <w:rPr>
                <w:rFonts w:ascii="Courier New" w:hAnsi="Courier New"/>
                <w:b w:val="0"/>
                <w:i w:val="0"/>
                <w:color w:val="000000"/>
                <w:sz w:val="19"/>
              </w:rPr>
              <w:t>[8] Update Memory</w:t>
            </w:r>
          </w:p>
        </w:tc>
      </w:tr>
    </w:tbl>
    <w:p>
      <w:pPr>
        <w:pStyle w:val="Heading2"/>
        <w:spacing w:before="240" w:after="120" w:line="264" w:lineRule="auto"/>
      </w:pPr>
      <w:r>
        <w:rPr>
          <w:rFonts w:ascii="Calibri" w:hAnsi="Calibri"/>
          <w:b/>
          <w:i w:val="0"/>
          <w:color w:val="2E74B5"/>
          <w:sz w:val="26"/>
        </w:rPr>
        <w:t>3.1 Step Definitions</w:t>
      </w:r>
    </w:p>
    <w:tbl>
      <w:tblPr>
        <w:tblStyle w:val="TableGrid"/>
        <w:tblW w:type="auto" w:w="0"/>
        <w:tblLayout w:type="fixed"/>
        <w:tblLook w:firstColumn="1" w:firstRow="1" w:lastColumn="0" w:lastRow="0" w:noHBand="0" w:noVBand="1" w:val="04A0"/>
      </w:tblPr>
      <w:tblGrid>
        <w:gridCol w:w="1584"/>
        <w:gridCol w:w="5256"/>
        <w:gridCol w:w="2520"/>
      </w:tblGrid>
      <w:tr>
        <w:trPr>
          <w:tblHeader w:val="true"/>
        </w:trPr>
        <w:tc>
          <w:tcPr>
            <w:tcW w:type="dxa" w:w="1584"/>
            <w:tcMar>
              <w:top w:w="80" w:type="dxa"/>
              <w:start w:w="120" w:type="dxa"/>
              <w:bottom w:w="80" w:type="dxa"/>
              <w:end w:w="120" w:type="dxa"/>
            </w:tcMar>
            <w:shd w:fill="F2F4F7"/>
          </w:tcPr>
          <w:p>
            <w:pPr>
              <w:spacing w:before="0" w:after="0" w:line="240" w:lineRule="auto"/>
            </w:pPr>
            <w:r>
              <w:rPr>
                <w:rFonts w:ascii="Calibri" w:hAnsi="Calibri"/>
                <w:b/>
                <w:i w:val="0"/>
                <w:color w:val="444C56"/>
                <w:sz w:val="21"/>
              </w:rPr>
              <w:t>Step</w:t>
            </w:r>
          </w:p>
        </w:tc>
        <w:tc>
          <w:tcPr>
            <w:tcW w:type="dxa" w:w="5256"/>
            <w:tcMar>
              <w:top w:w="80" w:type="dxa"/>
              <w:start w:w="120" w:type="dxa"/>
              <w:bottom w:w="80" w:type="dxa"/>
              <w:end w:w="120" w:type="dxa"/>
            </w:tcMar>
            <w:shd w:fill="F2F4F7"/>
          </w:tcPr>
          <w:p>
            <w:pPr>
              <w:spacing w:before="0" w:after="0" w:line="240" w:lineRule="auto"/>
            </w:pPr>
            <w:r>
              <w:rPr>
                <w:rFonts w:ascii="Calibri" w:hAnsi="Calibri"/>
                <w:b/>
                <w:i w:val="0"/>
                <w:color w:val="444C56"/>
                <w:sz w:val="21"/>
              </w:rPr>
              <w:t>Description</w:t>
            </w:r>
          </w:p>
        </w:tc>
        <w:tc>
          <w:tcPr>
            <w:tcW w:type="dxa" w:w="2520"/>
            <w:tcMar>
              <w:top w:w="80" w:type="dxa"/>
              <w:start w:w="120" w:type="dxa"/>
              <w:bottom w:w="80" w:type="dxa"/>
              <w:end w:w="120" w:type="dxa"/>
            </w:tcMar>
            <w:shd w:fill="F2F4F7"/>
          </w:tcPr>
          <w:p>
            <w:pPr>
              <w:spacing w:before="0" w:after="0" w:line="240" w:lineRule="auto"/>
            </w:pPr>
            <w:r>
              <w:rPr>
                <w:rFonts w:ascii="Calibri" w:hAnsi="Calibri"/>
                <w:b/>
                <w:i w:val="0"/>
                <w:color w:val="444C56"/>
                <w:sz w:val="21"/>
              </w:rPr>
              <w:t>Output</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1. Patient Input</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User enters a symptom, request, or workflow question with optional vitals and profile details.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Structured request payload</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2. Memory Store</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Local conversation history and saved profile context are loaded before routing.</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Memory context</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3. Intent Classifier</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Message, vitals, and context are mapped to one or more route candidates.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Route candidates and confidence</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4. Specialist Agent Selection</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Best-fit agent or agent set is selected based on risk and route requirements.</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Agent outputs</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5. Response Synthesizer</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Agent outputs are translated into user-facing structured guidance.</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Draft final response</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6. Safety and Guardrails</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Unsafe advice patterns are blocked and escalation wording is enforced.</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Safe response</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7. Patient Reply</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The final response is returned in the UI or API response.</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Displayed answer</w:t>
            </w:r>
          </w:p>
        </w:tc>
      </w:tr>
      <w:tr>
        <w:tc>
          <w:tcPr>
            <w:tcW w:type="dxa" w:w="1584"/>
            <w:tcMar>
              <w:top w:w="80" w:type="dxa"/>
              <w:start w:w="120" w:type="dxa"/>
              <w:bottom w:w="80" w:type="dxa"/>
              <w:end w:w="120" w:type="dxa"/>
            </w:tcMar>
          </w:tcPr>
          <w:p>
            <w:pPr>
              <w:spacing w:before="0" w:after="0" w:line="240" w:lineRule="auto"/>
            </w:pPr>
            <w:r>
              <w:rPr>
                <w:rFonts w:ascii="Calibri" w:hAnsi="Calibri"/>
                <w:b w:val="0"/>
                <w:i w:val="0"/>
                <w:color w:val="000000"/>
                <w:sz w:val="21"/>
              </w:rPr>
              <w:t>8. Update Memory</w:t>
            </w:r>
          </w:p>
        </w:tc>
        <w:tc>
          <w:tcPr>
            <w:tcW w:type="dxa" w:w="5256"/>
            <w:tcMar>
              <w:top w:w="80" w:type="dxa"/>
              <w:start w:w="120" w:type="dxa"/>
              <w:bottom w:w="80" w:type="dxa"/>
              <w:end w:w="120" w:type="dxa"/>
            </w:tcMar>
          </w:tcPr>
          <w:p>
            <w:pPr>
              <w:spacing w:before="0" w:after="0" w:line="240" w:lineRule="auto"/>
            </w:pPr>
            <w:r>
              <w:rPr>
                <w:rFonts w:ascii="Calibri" w:hAnsi="Calibri"/>
                <w:b w:val="0"/>
                <w:i w:val="0"/>
                <w:color w:val="000000"/>
                <w:sz w:val="21"/>
              </w:rPr>
              <w:t>Profile, context, and run summary are saved for continuity.</w:t>
            </w:r>
          </w:p>
        </w:tc>
        <w:tc>
          <w:tcPr>
            <w:tcW w:type="dxa" w:w="2520"/>
            <w:tcMar>
              <w:top w:w="80" w:type="dxa"/>
              <w:start w:w="120" w:type="dxa"/>
              <w:bottom w:w="80" w:type="dxa"/>
              <w:end w:w="120" w:type="dxa"/>
            </w:tcMar>
          </w:tcPr>
          <w:p>
            <w:pPr>
              <w:spacing w:before="0" w:after="0" w:line="240" w:lineRule="auto"/>
            </w:pPr>
            <w:r>
              <w:rPr>
                <w:rFonts w:ascii="Calibri" w:hAnsi="Calibri"/>
                <w:b w:val="0"/>
                <w:i w:val="0"/>
                <w:color w:val="000000"/>
                <w:sz w:val="21"/>
              </w:rPr>
              <w:t>Persistent memory entry</w:t>
            </w:r>
          </w:p>
        </w:tc>
      </w:tr>
    </w:tbl>
    <w:p>
      <w:r>
        <w:br w:type="page"/>
      </w:r>
    </w:p>
    <w:p>
      <w:pPr>
        <w:pStyle w:val="Heading1"/>
        <w:spacing w:before="320" w:after="160" w:line="264" w:lineRule="auto"/>
      </w:pPr>
      <w:r>
        <w:rPr>
          <w:rFonts w:ascii="Calibri" w:hAnsi="Calibri"/>
          <w:b/>
          <w:i w:val="0"/>
          <w:color w:val="2E74B5"/>
          <w:sz w:val="32"/>
        </w:rPr>
        <w:t>4. Test Plan</w:t>
      </w:r>
    </w:p>
    <w:p>
      <w:pPr>
        <w:spacing w:before="0" w:after="160" w:line="264" w:lineRule="auto"/>
      </w:pPr>
      <w:r>
        <w:rPr>
          <w:rFonts w:ascii="Calibri" w:hAnsi="Calibri"/>
          <w:b w:val="0"/>
          <w:i w:val="0"/>
          <w:color w:val="000000"/>
          <w:sz w:val="22"/>
        </w:rPr>
        <w:t>The current validation strategy combines static file verification, syntax validation, scenario smoke tests, and deployment-readiness checks.</w:t>
      </w:r>
    </w:p>
    <w:p>
      <w:pPr>
        <w:pStyle w:val="Heading2"/>
        <w:spacing w:before="240" w:after="120" w:line="264" w:lineRule="auto"/>
      </w:pPr>
      <w:r>
        <w:rPr>
          <w:rFonts w:ascii="Calibri" w:hAnsi="Calibri"/>
          <w:b/>
          <w:i w:val="0"/>
          <w:color w:val="2E74B5"/>
          <w:sz w:val="26"/>
        </w:rPr>
        <w:t>4.1 Objectives</w:t>
      </w:r>
    </w:p>
    <w:p>
      <w:pPr>
        <w:pStyle w:val="ListBullet"/>
        <w:spacing w:before="0" w:after="80" w:line="264" w:lineRule="auto"/>
      </w:pPr>
      <w:r>
        <w:rPr>
          <w:rFonts w:ascii="Calibri" w:hAnsi="Calibri"/>
          <w:b w:val="0"/>
          <w:i w:val="0"/>
          <w:color w:val="000000"/>
          <w:sz w:val="22"/>
        </w:rPr>
        <w:t>Confirm the package contains all required source, data, launch, and verification assets.</w:t>
      </w:r>
    </w:p>
    <w:p>
      <w:pPr>
        <w:pStyle w:val="ListBullet"/>
        <w:spacing w:before="0" w:after="80" w:line="264" w:lineRule="auto"/>
      </w:pPr>
      <w:r>
        <w:rPr>
          <w:rFonts w:ascii="Calibri" w:hAnsi="Calibri"/>
          <w:b w:val="0"/>
          <w:i w:val="0"/>
          <w:color w:val="000000"/>
          <w:sz w:val="22"/>
        </w:rPr>
        <w:t>Confirm edited runtime files remain syntactically valid.</w:t>
      </w:r>
    </w:p>
    <w:p>
      <w:pPr>
        <w:pStyle w:val="ListBullet"/>
        <w:spacing w:before="0" w:after="80" w:line="264" w:lineRule="auto"/>
      </w:pPr>
      <w:r>
        <w:rPr>
          <w:rFonts w:ascii="Calibri" w:hAnsi="Calibri"/>
          <w:b w:val="0"/>
          <w:i w:val="0"/>
          <w:color w:val="000000"/>
          <w:sz w:val="22"/>
        </w:rPr>
        <w:t>Confirm healthcare and payer routes produce expected risk levels and agent selections.</w:t>
      </w:r>
    </w:p>
    <w:p>
      <w:pPr>
        <w:pStyle w:val="ListBullet"/>
        <w:spacing w:before="0" w:after="80" w:line="264" w:lineRule="auto"/>
      </w:pPr>
      <w:r>
        <w:rPr>
          <w:rFonts w:ascii="Calibri" w:hAnsi="Calibri"/>
          <w:b w:val="0"/>
          <w:i w:val="0"/>
          <w:color w:val="000000"/>
          <w:sz w:val="22"/>
        </w:rPr>
        <w:t>Confirm service endpoints and readiness surfaces behave correctly for local deployment.</w:t>
      </w:r>
    </w:p>
    <w:p>
      <w:pPr>
        <w:pStyle w:val="Heading2"/>
        <w:spacing w:before="240" w:after="120" w:line="264" w:lineRule="auto"/>
      </w:pPr>
      <w:r>
        <w:rPr>
          <w:rFonts w:ascii="Calibri" w:hAnsi="Calibri"/>
          <w:b/>
          <w:i w:val="0"/>
          <w:color w:val="2E74B5"/>
          <w:sz w:val="26"/>
        </w:rPr>
        <w:t>4.2 Entry Criteria</w:t>
      </w:r>
    </w:p>
    <w:p>
      <w:pPr>
        <w:pStyle w:val="ListBullet"/>
        <w:spacing w:before="0" w:after="80" w:line="264" w:lineRule="auto"/>
      </w:pPr>
      <w:r>
        <w:rPr>
          <w:rFonts w:ascii="Calibri" w:hAnsi="Calibri"/>
          <w:b w:val="0"/>
          <w:i w:val="0"/>
          <w:color w:val="000000"/>
          <w:sz w:val="22"/>
        </w:rPr>
        <w:t>Repository available locally with bundled Node runtime.</w:t>
      </w:r>
    </w:p>
    <w:p>
      <w:pPr>
        <w:pStyle w:val="ListBullet"/>
        <w:spacing w:before="0" w:after="80" w:line="264" w:lineRule="auto"/>
      </w:pPr>
      <w:r>
        <w:rPr>
          <w:rFonts w:ascii="Calibri" w:hAnsi="Calibri"/>
          <w:b w:val="0"/>
          <w:i w:val="0"/>
          <w:color w:val="000000"/>
          <w:sz w:val="22"/>
        </w:rPr>
        <w:t>Core source files and offline data assets present.</w:t>
      </w:r>
    </w:p>
    <w:p>
      <w:pPr>
        <w:pStyle w:val="ListBullet"/>
        <w:spacing w:before="0" w:after="80" w:line="264" w:lineRule="auto"/>
      </w:pPr>
      <w:r>
        <w:rPr>
          <w:rFonts w:ascii="Calibri" w:hAnsi="Calibri"/>
          <w:b w:val="0"/>
          <w:i w:val="0"/>
          <w:color w:val="000000"/>
          <w:sz w:val="22"/>
        </w:rPr>
        <w:t>Local environment able to execute node-based verification scripts.</w:t>
      </w:r>
    </w:p>
    <w:p>
      <w:pPr>
        <w:pStyle w:val="ListBullet"/>
        <w:spacing w:before="0" w:after="80" w:line="264" w:lineRule="auto"/>
      </w:pPr>
      <w:r>
        <w:rPr>
          <w:rFonts w:ascii="Calibri" w:hAnsi="Calibri"/>
          <w:b w:val="0"/>
          <w:i w:val="0"/>
          <w:color w:val="000000"/>
          <w:sz w:val="22"/>
        </w:rPr>
        <w:t>Current branch changes saved before executing validation scripts.</w:t>
      </w:r>
    </w:p>
    <w:p>
      <w:pPr>
        <w:pStyle w:val="Heading2"/>
        <w:spacing w:before="240" w:after="120" w:line="264" w:lineRule="auto"/>
      </w:pPr>
      <w:r>
        <w:rPr>
          <w:rFonts w:ascii="Calibri" w:hAnsi="Calibri"/>
          <w:b/>
          <w:i w:val="0"/>
          <w:color w:val="2E74B5"/>
          <w:sz w:val="26"/>
        </w:rPr>
        <w:t>4.3 Test Suites</w:t>
      </w:r>
    </w:p>
    <w:tbl>
      <w:tblPr>
        <w:tblStyle w:val="TableGrid"/>
        <w:tblW w:type="auto" w:w="0"/>
        <w:tblLayout w:type="fixed"/>
        <w:tblLook w:firstColumn="1" w:firstRow="1" w:lastColumn="0" w:lastRow="0" w:noHBand="0" w:noVBand="1" w:val="04A0"/>
      </w:tblPr>
      <w:tblGrid>
        <w:gridCol w:w="1872"/>
        <w:gridCol w:w="3456"/>
        <w:gridCol w:w="4032"/>
      </w:tblGrid>
      <w:tr>
        <w:trPr>
          <w:tblHeader w:val="true"/>
        </w:trPr>
        <w:tc>
          <w:tcPr>
            <w:tcW w:type="dxa" w:w="1872"/>
            <w:tcMar>
              <w:top w:w="80" w:type="dxa"/>
              <w:start w:w="120" w:type="dxa"/>
              <w:bottom w:w="80" w:type="dxa"/>
              <w:end w:w="120" w:type="dxa"/>
            </w:tcMar>
            <w:shd w:fill="F2F4F7"/>
          </w:tcPr>
          <w:p>
            <w:pPr>
              <w:spacing w:before="0" w:after="0" w:line="240" w:lineRule="auto"/>
            </w:pPr>
            <w:r>
              <w:rPr>
                <w:rFonts w:ascii="Calibri" w:hAnsi="Calibri"/>
                <w:b/>
                <w:i w:val="0"/>
                <w:color w:val="444C56"/>
                <w:sz w:val="21"/>
              </w:rPr>
              <w:t>Suite</w:t>
            </w:r>
          </w:p>
        </w:tc>
        <w:tc>
          <w:tcPr>
            <w:tcW w:type="dxa" w:w="3456"/>
            <w:tcMar>
              <w:top w:w="80" w:type="dxa"/>
              <w:start w:w="120" w:type="dxa"/>
              <w:bottom w:w="80" w:type="dxa"/>
              <w:end w:w="120" w:type="dxa"/>
            </w:tcMar>
            <w:shd w:fill="F2F4F7"/>
          </w:tcPr>
          <w:p>
            <w:pPr>
              <w:spacing w:before="0" w:after="0" w:line="240" w:lineRule="auto"/>
            </w:pPr>
            <w:r>
              <w:rPr>
                <w:rFonts w:ascii="Calibri" w:hAnsi="Calibri"/>
                <w:b/>
                <w:i w:val="0"/>
                <w:color w:val="444C56"/>
                <w:sz w:val="21"/>
              </w:rPr>
              <w:t>Command</w:t>
            </w:r>
          </w:p>
        </w:tc>
        <w:tc>
          <w:tcPr>
            <w:tcW w:type="dxa" w:w="4032"/>
            <w:tcMar>
              <w:top w:w="80" w:type="dxa"/>
              <w:start w:w="120" w:type="dxa"/>
              <w:bottom w:w="80" w:type="dxa"/>
              <w:end w:w="120" w:type="dxa"/>
            </w:tcMar>
            <w:shd w:fill="F2F4F7"/>
          </w:tcPr>
          <w:p>
            <w:pPr>
              <w:spacing w:before="0" w:after="0" w:line="240" w:lineRule="auto"/>
            </w:pPr>
            <w:r>
              <w:rPr>
                <w:rFonts w:ascii="Calibri" w:hAnsi="Calibri"/>
                <w:b/>
                <w:i w:val="0"/>
                <w:color w:val="444C56"/>
                <w:sz w:val="21"/>
              </w:rPr>
              <w:t>Coverage Focus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Syntax validation</w:t>
            </w:r>
          </w:p>
        </w:tc>
        <w:tc>
          <w:tcPr>
            <w:tcW w:type="dxa" w:w="3456"/>
            <w:tcMar>
              <w:top w:w="80" w:type="dxa"/>
              <w:start w:w="120" w:type="dxa"/>
              <w:bottom w:w="80" w:type="dxa"/>
              <w:end w:w="120" w:type="dxa"/>
            </w:tcMar>
          </w:tcPr>
          <w:p>
            <w:pPr>
              <w:spacing w:before="0" w:after="0" w:line="240" w:lineRule="auto"/>
            </w:pPr>
            <w:r>
              <w:rPr>
                <w:rFonts w:ascii="Calibri" w:hAnsi="Calibri"/>
                <w:b w:val="0"/>
                <w:i w:val="0"/>
                <w:color w:val="000000"/>
                <w:sz w:val="21"/>
              </w:rPr>
              <w:t>node --check &lt;target files&gt;</w:t>
            </w:r>
          </w:p>
        </w:tc>
        <w:tc>
          <w:tcPr>
            <w:tcW w:type="dxa" w:w="4032"/>
            <w:tcMar>
              <w:top w:w="80" w:type="dxa"/>
              <w:start w:w="120" w:type="dxa"/>
              <w:bottom w:w="80" w:type="dxa"/>
              <w:end w:w="120" w:type="dxa"/>
            </w:tcMar>
          </w:tcPr>
          <w:p>
            <w:pPr>
              <w:spacing w:before="0" w:after="0" w:line="240" w:lineRule="auto"/>
            </w:pPr>
            <w:r>
              <w:rPr>
                <w:rFonts w:ascii="Calibri" w:hAnsi="Calibri"/>
                <w:b w:val="0"/>
                <w:i w:val="0"/>
                <w:color w:val="000000"/>
                <w:sz w:val="21"/>
              </w:rPr>
              <w:t>Edited runtime files in both main and github-ready copies.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Model file check</w:t>
            </w:r>
          </w:p>
        </w:tc>
        <w:tc>
          <w:tcPr>
            <w:tcW w:type="dxa" w:w="3456"/>
            <w:tcMar>
              <w:top w:w="80" w:type="dxa"/>
              <w:start w:w="120" w:type="dxa"/>
              <w:bottom w:w="80" w:type="dxa"/>
              <w:end w:w="120" w:type="dxa"/>
            </w:tcMar>
          </w:tcPr>
          <w:p>
            <w:pPr>
              <w:spacing w:before="0" w:after="0" w:line="240" w:lineRule="auto"/>
            </w:pPr>
            <w:r>
              <w:rPr>
                <w:rFonts w:ascii="Calibri" w:hAnsi="Calibri"/>
                <w:b w:val="0"/>
                <w:i w:val="0"/>
                <w:color w:val="000000"/>
                <w:sz w:val="21"/>
              </w:rPr>
              <w:t>node scripts/model-file-check.js</w:t>
            </w:r>
          </w:p>
        </w:tc>
        <w:tc>
          <w:tcPr>
            <w:tcW w:type="dxa" w:w="4032"/>
            <w:tcMar>
              <w:top w:w="80" w:type="dxa"/>
              <w:start w:w="120" w:type="dxa"/>
              <w:bottom w:w="80" w:type="dxa"/>
              <w:end w:w="120" w:type="dxa"/>
            </w:tcMar>
          </w:tcPr>
          <w:p>
            <w:pPr>
              <w:spacing w:before="0" w:after="0" w:line="240" w:lineRule="auto"/>
            </w:pPr>
            <w:r>
              <w:rPr>
                <w:rFonts w:ascii="Calibri" w:hAnsi="Calibri"/>
                <w:b w:val="0"/>
                <w:i w:val="0"/>
                <w:color w:val="000000"/>
                <w:sz w:val="21"/>
              </w:rPr>
              <w:t>Required local model files, package structure, and local-only artifacts.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Smoke test suite</w:t>
            </w:r>
          </w:p>
        </w:tc>
        <w:tc>
          <w:tcPr>
            <w:tcW w:type="dxa" w:w="3456"/>
            <w:tcMar>
              <w:top w:w="80" w:type="dxa"/>
              <w:start w:w="120" w:type="dxa"/>
              <w:bottom w:w="80" w:type="dxa"/>
              <w:end w:w="120" w:type="dxa"/>
            </w:tcMar>
          </w:tcPr>
          <w:p>
            <w:pPr>
              <w:spacing w:before="0" w:after="0" w:line="240" w:lineRule="auto"/>
            </w:pPr>
            <w:r>
              <w:rPr>
                <w:rFonts w:ascii="Calibri" w:hAnsi="Calibri"/>
                <w:b w:val="0"/>
                <w:i w:val="0"/>
                <w:color w:val="000000"/>
                <w:sz w:val="21"/>
              </w:rPr>
              <w:t>node scripts/smoke-test.js</w:t>
            </w:r>
          </w:p>
        </w:tc>
        <w:tc>
          <w:tcPr>
            <w:tcW w:type="dxa" w:w="4032"/>
            <w:tcMar>
              <w:top w:w="80" w:type="dxa"/>
              <w:start w:w="120" w:type="dxa"/>
              <w:bottom w:w="80" w:type="dxa"/>
              <w:end w:w="120" w:type="dxa"/>
            </w:tcMar>
          </w:tcPr>
          <w:p>
            <w:pPr>
              <w:spacing w:before="0" w:after="0" w:line="240" w:lineRule="auto"/>
            </w:pPr>
            <w:r>
              <w:rPr>
                <w:rFonts w:ascii="Calibri" w:hAnsi="Calibri"/>
                <w:b w:val="0"/>
                <w:i w:val="0"/>
                <w:color w:val="000000"/>
                <w:sz w:val="21"/>
              </w:rPr>
              <w:t>Risk routing, agent selection, architecture metadata, and router assertions.</w:t>
            </w:r>
          </w:p>
        </w:tc>
      </w:tr>
      <w:tr>
        <w:tc>
          <w:tcPr>
            <w:tcW w:type="dxa" w:w="1872"/>
            <w:tcMar>
              <w:top w:w="80" w:type="dxa"/>
              <w:start w:w="120" w:type="dxa"/>
              <w:bottom w:w="80" w:type="dxa"/>
              <w:end w:w="120" w:type="dxa"/>
            </w:tcMar>
          </w:tcPr>
          <w:p>
            <w:pPr>
              <w:spacing w:before="0" w:after="0" w:line="240" w:lineRule="auto"/>
            </w:pPr>
            <w:r>
              <w:rPr>
                <w:rFonts w:ascii="Calibri" w:hAnsi="Calibri"/>
                <w:b w:val="0"/>
                <w:i w:val="0"/>
                <w:color w:val="000000"/>
                <w:sz w:val="21"/>
              </w:rPr>
              <w:t>Deployment readiness</w:t>
            </w:r>
          </w:p>
        </w:tc>
        <w:tc>
          <w:tcPr>
            <w:tcW w:type="dxa" w:w="3456"/>
            <w:tcMar>
              <w:top w:w="80" w:type="dxa"/>
              <w:start w:w="120" w:type="dxa"/>
              <w:bottom w:w="80" w:type="dxa"/>
              <w:end w:w="120" w:type="dxa"/>
            </w:tcMar>
          </w:tcPr>
          <w:p>
            <w:pPr>
              <w:spacing w:before="0" w:after="0" w:line="240" w:lineRule="auto"/>
            </w:pPr>
            <w:r>
              <w:rPr>
                <w:rFonts w:ascii="Calibri" w:hAnsi="Calibri"/>
                <w:b w:val="0"/>
                <w:i w:val="0"/>
                <w:color w:val="000000"/>
                <w:sz w:val="21"/>
              </w:rPr>
              <w:t>node scripts/deployment-check.js</w:t>
            </w:r>
          </w:p>
        </w:tc>
        <w:tc>
          <w:tcPr>
            <w:tcW w:type="dxa" w:w="4032"/>
            <w:tcMar>
              <w:top w:w="80" w:type="dxa"/>
              <w:start w:w="120" w:type="dxa"/>
              <w:bottom w:w="80" w:type="dxa"/>
              <w:end w:w="120" w:type="dxa"/>
            </w:tcMar>
          </w:tcPr>
          <w:p>
            <w:pPr>
              <w:spacing w:before="0" w:after="0" w:line="240" w:lineRule="auto"/>
            </w:pPr>
            <w:r>
              <w:rPr>
                <w:rFonts w:ascii="Calibri" w:hAnsi="Calibri"/>
                <w:b w:val="0"/>
                <w:i w:val="0"/>
                <w:color w:val="000000"/>
                <w:sz w:val="21"/>
              </w:rPr>
              <w:t>Health/readiness APIs, headers, persistence, deployment metadata, and endpoint coverage.</w:t>
            </w:r>
          </w:p>
        </w:tc>
      </w:tr>
    </w:tbl>
    <w:p>
      <w:pPr>
        <w:pStyle w:val="Heading2"/>
        <w:spacing w:before="240" w:after="120" w:line="264" w:lineRule="auto"/>
      </w:pPr>
      <w:r>
        <w:rPr>
          <w:rFonts w:ascii="Calibri" w:hAnsi="Calibri"/>
          <w:b/>
          <w:i w:val="0"/>
          <w:color w:val="2E74B5"/>
          <w:sz w:val="26"/>
        </w:rPr>
        <w:t>4.4 Scenario Coverage</w:t>
      </w:r>
    </w:p>
    <w:p>
      <w:pPr>
        <w:pStyle w:val="ListBullet"/>
        <w:spacing w:before="0" w:after="80" w:line="264" w:lineRule="auto"/>
      </w:pPr>
      <w:r>
        <w:rPr>
          <w:rFonts w:ascii="Calibri" w:hAnsi="Calibri"/>
          <w:b w:val="0"/>
          <w:i w:val="0"/>
          <w:color w:val="000000"/>
          <w:sz w:val="22"/>
        </w:rPr>
        <w:t>Routine health guidance and general advice.</w:t>
      </w:r>
    </w:p>
    <w:p>
      <w:pPr>
        <w:pStyle w:val="ListBullet"/>
        <w:spacing w:before="0" w:after="80" w:line="264" w:lineRule="auto"/>
      </w:pPr>
      <w:r>
        <w:rPr>
          <w:rFonts w:ascii="Calibri" w:hAnsi="Calibri"/>
          <w:b w:val="0"/>
          <w:i w:val="0"/>
          <w:color w:val="000000"/>
          <w:sz w:val="22"/>
        </w:rPr>
        <w:t>Medication-safety, missed-dose, and high blood-pressure scenarios.</w:t>
      </w:r>
    </w:p>
    <w:p>
      <w:pPr>
        <w:pStyle w:val="ListBullet"/>
        <w:spacing w:before="0" w:after="80" w:line="264" w:lineRule="auto"/>
      </w:pPr>
      <w:r>
        <w:rPr>
          <w:rFonts w:ascii="Calibri" w:hAnsi="Calibri"/>
          <w:b w:val="0"/>
          <w:i w:val="0"/>
          <w:color w:val="000000"/>
          <w:sz w:val="22"/>
        </w:rPr>
        <w:t>Critical escalation for chest pain, stroke wording, and severe low-sugar contexts.</w:t>
      </w:r>
    </w:p>
    <w:p>
      <w:pPr>
        <w:pStyle w:val="ListBullet"/>
        <w:spacing w:before="0" w:after="80" w:line="264" w:lineRule="auto"/>
      </w:pPr>
      <w:r>
        <w:rPr>
          <w:rFonts w:ascii="Calibri" w:hAnsi="Calibri"/>
          <w:b w:val="0"/>
          <w:i w:val="0"/>
          <w:color w:val="000000"/>
          <w:sz w:val="22"/>
        </w:rPr>
        <w:t>Appointments, labs, lifestyle, wellness, records, and insurance support.</w:t>
      </w:r>
    </w:p>
    <w:p>
      <w:pPr>
        <w:pStyle w:val="ListBullet"/>
        <w:spacing w:before="0" w:after="80" w:line="264" w:lineRule="auto"/>
      </w:pPr>
      <w:r>
        <w:rPr>
          <w:rFonts w:ascii="Calibri" w:hAnsi="Calibri"/>
          <w:b w:val="0"/>
          <w:i w:val="0"/>
          <w:color w:val="000000"/>
          <w:sz w:val="22"/>
        </w:rPr>
        <w:t>Care transitions, claims operations, utilization-management, GxP quality, and MedTech compliance workflows.</w:t>
      </w:r>
    </w:p>
    <w:p>
      <w:pPr>
        <w:pStyle w:val="ListBullet"/>
        <w:spacing w:before="0" w:after="80" w:line="264" w:lineRule="auto"/>
      </w:pPr>
      <w:r>
        <w:rPr>
          <w:rFonts w:ascii="Calibri" w:hAnsi="Calibri"/>
          <w:b w:val="0"/>
          <w:i w:val="0"/>
          <w:color w:val="000000"/>
          <w:sz w:val="22"/>
        </w:rPr>
        <w:t>Cloud-route preview and forced-offline model-routing assertions inside the smoke suite.</w:t>
      </w:r>
    </w:p>
    <w:p>
      <w:pPr>
        <w:pStyle w:val="Heading2"/>
        <w:spacing w:before="240" w:after="120" w:line="264" w:lineRule="auto"/>
      </w:pPr>
      <w:r>
        <w:rPr>
          <w:rFonts w:ascii="Calibri" w:hAnsi="Calibri"/>
          <w:b/>
          <w:i w:val="0"/>
          <w:color w:val="2E74B5"/>
          <w:sz w:val="26"/>
        </w:rPr>
        <w:t>4.5 Exit Criteria</w:t>
      </w:r>
    </w:p>
    <w:p>
      <w:pPr>
        <w:pStyle w:val="ListBullet"/>
        <w:spacing w:before="0" w:after="80" w:line="264" w:lineRule="auto"/>
      </w:pPr>
      <w:r>
        <w:rPr>
          <w:rFonts w:ascii="Calibri" w:hAnsi="Calibri"/>
          <w:b w:val="0"/>
          <w:i w:val="0"/>
          <w:color w:val="000000"/>
          <w:sz w:val="22"/>
        </w:rPr>
        <w:t>All selected validation scripts complete successfully.</w:t>
      </w:r>
    </w:p>
    <w:p>
      <w:pPr>
        <w:pStyle w:val="ListBullet"/>
        <w:spacing w:before="0" w:after="80" w:line="264" w:lineRule="auto"/>
      </w:pPr>
      <w:r>
        <w:rPr>
          <w:rFonts w:ascii="Calibri" w:hAnsi="Calibri"/>
          <w:b w:val="0"/>
          <w:i w:val="0"/>
          <w:color w:val="000000"/>
          <w:sz w:val="22"/>
        </w:rPr>
        <w:t>No syntax errors remain in the edited runtime files.</w:t>
      </w:r>
    </w:p>
    <w:p>
      <w:pPr>
        <w:pStyle w:val="ListBullet"/>
        <w:spacing w:before="0" w:after="80" w:line="264" w:lineRule="auto"/>
      </w:pPr>
      <w:r>
        <w:rPr>
          <w:rFonts w:ascii="Calibri" w:hAnsi="Calibri"/>
          <w:b w:val="0"/>
          <w:i w:val="0"/>
          <w:color w:val="000000"/>
          <w:sz w:val="22"/>
        </w:rPr>
        <w:t>No required local model files are missing.</w:t>
      </w:r>
    </w:p>
    <w:p>
      <w:pPr>
        <w:pStyle w:val="ListBullet"/>
        <w:spacing w:before="0" w:after="80" w:line="264" w:lineRule="auto"/>
      </w:pPr>
      <w:r>
        <w:rPr>
          <w:rFonts w:ascii="Calibri" w:hAnsi="Calibri"/>
          <w:b w:val="0"/>
          <w:i w:val="0"/>
          <w:color w:val="000000"/>
          <w:sz w:val="22"/>
        </w:rPr>
        <w:t>Deployment checks confirm healthy runtime, readiness status, and API surfaces.</w:t>
      </w:r>
    </w:p>
    <w:p>
      <w:r>
        <w:br w:type="page"/>
      </w:r>
    </w:p>
    <w:p>
      <w:pPr>
        <w:pStyle w:val="Heading1"/>
        <w:spacing w:before="320" w:after="160" w:line="264" w:lineRule="auto"/>
      </w:pPr>
      <w:r>
        <w:rPr>
          <w:rFonts w:ascii="Calibri" w:hAnsi="Calibri"/>
          <w:b/>
          <w:i w:val="0"/>
          <w:color w:val="2E74B5"/>
          <w:sz w:val="32"/>
        </w:rPr>
        <w:t>5. Test Results</w:t>
      </w:r>
    </w:p>
    <w:p>
      <w:pPr>
        <w:spacing w:before="0" w:after="160" w:line="264" w:lineRule="auto"/>
      </w:pPr>
      <w:r>
        <w:rPr>
          <w:rFonts w:ascii="Calibri" w:hAnsi="Calibri"/>
          <w:b w:val="0"/>
          <w:i w:val="0"/>
          <w:color w:val="000000"/>
          <w:sz w:val="22"/>
        </w:rPr>
        <w:t>Executed on July 8, 2026 20:15 India Standard Time (2026-07-08T20:15:07+05:30) using the bundled repository runtimes.</w:t>
      </w:r>
    </w:p>
    <w:tbl>
      <w:tblPr>
        <w:tblStyle w:val="TableGrid"/>
        <w:tblW w:type="auto" w:w="0"/>
        <w:tblLayout w:type="fixed"/>
        <w:tblLook w:firstColumn="1" w:firstRow="1" w:lastColumn="0" w:lastRow="0" w:noHBand="0" w:noVBand="1" w:val="04A0"/>
      </w:tblPr>
      <w:tblGrid>
        <w:gridCol w:w="2880"/>
        <w:gridCol w:w="5544"/>
        <w:gridCol w:w="936"/>
      </w:tblGrid>
      <w:tr>
        <w:trPr>
          <w:tblHeader w:val="true"/>
        </w:trPr>
        <w:tc>
          <w:tcPr>
            <w:tcW w:type="dxa" w:w="2880"/>
            <w:tcMar>
              <w:top w:w="80" w:type="dxa"/>
              <w:start w:w="120" w:type="dxa"/>
              <w:bottom w:w="80" w:type="dxa"/>
              <w:end w:w="120" w:type="dxa"/>
            </w:tcMar>
            <w:shd w:fill="F2F4F7"/>
          </w:tcPr>
          <w:p>
            <w:pPr>
              <w:spacing w:before="0" w:after="0" w:line="240" w:lineRule="auto"/>
            </w:pPr>
            <w:r>
              <w:rPr>
                <w:rFonts w:ascii="Calibri" w:hAnsi="Calibri"/>
                <w:b/>
                <w:i w:val="0"/>
                <w:color w:val="444C56"/>
                <w:sz w:val="21"/>
              </w:rPr>
              <w:t>Verification Item</w:t>
            </w:r>
          </w:p>
        </w:tc>
        <w:tc>
          <w:tcPr>
            <w:tcW w:type="dxa" w:w="5544"/>
            <w:tcMar>
              <w:top w:w="80" w:type="dxa"/>
              <w:start w:w="120" w:type="dxa"/>
              <w:bottom w:w="80" w:type="dxa"/>
              <w:end w:w="120" w:type="dxa"/>
            </w:tcMar>
            <w:shd w:fill="F2F4F7"/>
          </w:tcPr>
          <w:p>
            <w:pPr>
              <w:spacing w:before="0" w:after="0" w:line="240" w:lineRule="auto"/>
            </w:pPr>
            <w:r>
              <w:rPr>
                <w:rFonts w:ascii="Calibri" w:hAnsi="Calibri"/>
                <w:b/>
                <w:i w:val="0"/>
                <w:color w:val="444C56"/>
                <w:sz w:val="21"/>
              </w:rPr>
              <w:t>Observed Result</w:t>
            </w:r>
          </w:p>
        </w:tc>
        <w:tc>
          <w:tcPr>
            <w:tcW w:type="dxa" w:w="936"/>
            <w:tcMar>
              <w:top w:w="80" w:type="dxa"/>
              <w:start w:w="120" w:type="dxa"/>
              <w:bottom w:w="80" w:type="dxa"/>
              <w:end w:w="120" w:type="dxa"/>
            </w:tcMar>
            <w:shd w:fill="F2F4F7"/>
          </w:tcPr>
          <w:p>
            <w:pPr>
              <w:spacing w:before="0" w:after="0" w:line="240" w:lineRule="auto"/>
            </w:pPr>
            <w:r>
              <w:rPr>
                <w:rFonts w:ascii="Calibri" w:hAnsi="Calibri"/>
                <w:b/>
                <w:i w:val="0"/>
                <w:color w:val="444C56"/>
                <w:sz w:val="21"/>
              </w:rPr>
              <w:t>Status</w:t>
            </w:r>
          </w:p>
        </w:tc>
      </w:tr>
      <w:tr>
        <w:tc>
          <w:tcPr>
            <w:tcW w:type="dxa" w:w="2880"/>
            <w:tcMar>
              <w:top w:w="80" w:type="dxa"/>
              <w:start w:w="120" w:type="dxa"/>
              <w:bottom w:w="80" w:type="dxa"/>
              <w:end w:w="120" w:type="dxa"/>
            </w:tcMar>
          </w:tcPr>
          <w:p>
            <w:pPr>
              <w:spacing w:before="0" w:after="0" w:line="240" w:lineRule="auto"/>
            </w:pPr>
            <w:r>
              <w:rPr>
                <w:rFonts w:ascii="Calibri" w:hAnsi="Calibri"/>
                <w:b w:val="0"/>
                <w:i w:val="0"/>
                <w:color w:val="000000"/>
                <w:sz w:val="21"/>
              </w:rPr>
              <w:t>Syntax validation</w:t>
            </w:r>
          </w:p>
        </w:tc>
        <w:tc>
          <w:tcPr>
            <w:tcW w:type="dxa" w:w="5544"/>
            <w:tcMar>
              <w:top w:w="80" w:type="dxa"/>
              <w:start w:w="120" w:type="dxa"/>
              <w:bottom w:w="80" w:type="dxa"/>
              <w:end w:w="120" w:type="dxa"/>
            </w:tcMar>
          </w:tcPr>
          <w:p>
            <w:pPr>
              <w:spacing w:before="0" w:after="0" w:line="240" w:lineRule="auto"/>
            </w:pPr>
            <w:r>
              <w:rPr>
                <w:rFonts w:ascii="Calibri" w:hAnsi="Calibri"/>
                <w:b w:val="0"/>
                <w:i w:val="0"/>
                <w:color w:val="000000"/>
                <w:sz w:val="21"/>
              </w:rPr>
              <w:t>6 edited runtime files validated successfully with node --check across main and github-ready copies.</w:t>
            </w:r>
          </w:p>
        </w:tc>
        <w:tc>
          <w:tcPr>
            <w:tcW w:type="dxa" w:w="936"/>
            <w:tcMar>
              <w:top w:w="80" w:type="dxa"/>
              <w:start w:w="120" w:type="dxa"/>
              <w:bottom w:w="80" w:type="dxa"/>
              <w:end w:w="120" w:type="dxa"/>
            </w:tcMar>
          </w:tcPr>
          <w:p>
            <w:pPr>
              <w:spacing w:before="0" w:after="0" w:line="240" w:lineRule="auto"/>
            </w:pPr>
            <w:r>
              <w:rPr>
                <w:rFonts w:ascii="Calibri" w:hAnsi="Calibri"/>
                <w:b w:val="0"/>
                <w:i w:val="0"/>
                <w:color w:val="000000"/>
                <w:sz w:val="21"/>
              </w:rPr>
              <w:t>PASS</w:t>
            </w:r>
          </w:p>
        </w:tc>
      </w:tr>
      <w:tr>
        <w:tc>
          <w:tcPr>
            <w:tcW w:type="dxa" w:w="2880"/>
            <w:tcMar>
              <w:top w:w="80" w:type="dxa"/>
              <w:start w:w="120" w:type="dxa"/>
              <w:bottom w:w="80" w:type="dxa"/>
              <w:end w:w="120" w:type="dxa"/>
            </w:tcMar>
          </w:tcPr>
          <w:p>
            <w:pPr>
              <w:spacing w:before="0" w:after="0" w:line="240" w:lineRule="auto"/>
            </w:pPr>
            <w:r>
              <w:rPr>
                <w:rFonts w:ascii="Calibri" w:hAnsi="Calibri"/>
                <w:b w:val="0"/>
                <w:i w:val="0"/>
                <w:color w:val="000000"/>
                <w:sz w:val="21"/>
              </w:rPr>
              <w:t>Model file check</w:t>
            </w:r>
          </w:p>
        </w:tc>
        <w:tc>
          <w:tcPr>
            <w:tcW w:type="dxa" w:w="5544"/>
            <w:tcMar>
              <w:top w:w="80" w:type="dxa"/>
              <w:start w:w="120" w:type="dxa"/>
              <w:bottom w:w="80" w:type="dxa"/>
              <w:end w:w="120" w:type="dxa"/>
            </w:tcMar>
          </w:tcPr>
          <w:p>
            <w:pPr>
              <w:spacing w:before="0" w:after="0" w:line="240" w:lineRule="auto"/>
            </w:pPr>
            <w:r>
              <w:rPr>
                <w:rFonts w:ascii="Calibri" w:hAnsi="Calibri"/>
                <w:b w:val="0"/>
                <w:i w:val="0"/>
                <w:color w:val="000000"/>
                <w:sz w:val="21"/>
              </w:rPr>
              <w:t>Repository validation passed; 61 required local model files present and local-only artifacts preserved.</w:t>
            </w:r>
          </w:p>
        </w:tc>
        <w:tc>
          <w:tcPr>
            <w:tcW w:type="dxa" w:w="936"/>
            <w:tcMar>
              <w:top w:w="80" w:type="dxa"/>
              <w:start w:w="120" w:type="dxa"/>
              <w:bottom w:w="80" w:type="dxa"/>
              <w:end w:w="120" w:type="dxa"/>
            </w:tcMar>
          </w:tcPr>
          <w:p>
            <w:pPr>
              <w:spacing w:before="0" w:after="0" w:line="240" w:lineRule="auto"/>
            </w:pPr>
            <w:r>
              <w:rPr>
                <w:rFonts w:ascii="Calibri" w:hAnsi="Calibri"/>
                <w:b w:val="0"/>
                <w:i w:val="0"/>
                <w:color w:val="000000"/>
                <w:sz w:val="21"/>
              </w:rPr>
              <w:t>PASS</w:t>
            </w:r>
          </w:p>
        </w:tc>
      </w:tr>
      <w:tr>
        <w:tc>
          <w:tcPr>
            <w:tcW w:type="dxa" w:w="2880"/>
            <w:tcMar>
              <w:top w:w="80" w:type="dxa"/>
              <w:start w:w="120" w:type="dxa"/>
              <w:bottom w:w="80" w:type="dxa"/>
              <w:end w:w="120" w:type="dxa"/>
            </w:tcMar>
          </w:tcPr>
          <w:p>
            <w:pPr>
              <w:spacing w:before="0" w:after="0" w:line="240" w:lineRule="auto"/>
            </w:pPr>
            <w:r>
              <w:rPr>
                <w:rFonts w:ascii="Calibri" w:hAnsi="Calibri"/>
                <w:b w:val="0"/>
                <w:i w:val="0"/>
                <w:color w:val="000000"/>
                <w:sz w:val="21"/>
              </w:rPr>
              <w:t>Smoke test suite</w:t>
            </w:r>
          </w:p>
        </w:tc>
        <w:tc>
          <w:tcPr>
            <w:tcW w:type="dxa" w:w="5544"/>
            <w:tcMar>
              <w:top w:w="80" w:type="dxa"/>
              <w:start w:w="120" w:type="dxa"/>
              <w:bottom w:w="80" w:type="dxa"/>
              <w:end w:w="120" w:type="dxa"/>
            </w:tcMar>
          </w:tcPr>
          <w:p>
            <w:pPr>
              <w:spacing w:before="0" w:after="0" w:line="240" w:lineRule="auto"/>
            </w:pPr>
            <w:r>
              <w:rPr>
                <w:rFonts w:ascii="Calibri" w:hAnsi="Calibri"/>
                <w:b w:val="0"/>
                <w:i w:val="0"/>
                <w:color w:val="000000"/>
                <w:sz w:val="21"/>
              </w:rPr>
              <w:t>Smoke tests passed, including 20 routed scenarios plus model-routing and gateway assertions.</w:t>
            </w:r>
          </w:p>
        </w:tc>
        <w:tc>
          <w:tcPr>
            <w:tcW w:type="dxa" w:w="936"/>
            <w:tcMar>
              <w:top w:w="80" w:type="dxa"/>
              <w:start w:w="120" w:type="dxa"/>
              <w:bottom w:w="80" w:type="dxa"/>
              <w:end w:w="120" w:type="dxa"/>
            </w:tcMar>
          </w:tcPr>
          <w:p>
            <w:pPr>
              <w:spacing w:before="0" w:after="0" w:line="240" w:lineRule="auto"/>
            </w:pPr>
            <w:r>
              <w:rPr>
                <w:rFonts w:ascii="Calibri" w:hAnsi="Calibri"/>
                <w:b w:val="0"/>
                <w:i w:val="0"/>
                <w:color w:val="000000"/>
                <w:sz w:val="21"/>
              </w:rPr>
              <w:t>PASS</w:t>
            </w:r>
          </w:p>
        </w:tc>
      </w:tr>
      <w:tr>
        <w:tc>
          <w:tcPr>
            <w:tcW w:type="dxa" w:w="2880"/>
            <w:tcMar>
              <w:top w:w="80" w:type="dxa"/>
              <w:start w:w="120" w:type="dxa"/>
              <w:bottom w:w="80" w:type="dxa"/>
              <w:end w:w="120" w:type="dxa"/>
            </w:tcMar>
          </w:tcPr>
          <w:p>
            <w:pPr>
              <w:spacing w:before="0" w:after="0" w:line="240" w:lineRule="auto"/>
            </w:pPr>
            <w:r>
              <w:rPr>
                <w:rFonts w:ascii="Calibri" w:hAnsi="Calibri"/>
                <w:b w:val="0"/>
                <w:i w:val="0"/>
                <w:color w:val="000000"/>
                <w:sz w:val="21"/>
              </w:rPr>
              <w:t>Deployment readiness</w:t>
            </w:r>
          </w:p>
        </w:tc>
        <w:tc>
          <w:tcPr>
            <w:tcW w:type="dxa" w:w="5544"/>
            <w:tcMar>
              <w:top w:w="80" w:type="dxa"/>
              <w:start w:w="120" w:type="dxa"/>
              <w:bottom w:w="80" w:type="dxa"/>
              <w:end w:w="120" w:type="dxa"/>
            </w:tcMar>
          </w:tcPr>
          <w:p>
            <w:pPr>
              <w:spacing w:before="0" w:after="0" w:line="240" w:lineRule="auto"/>
            </w:pPr>
            <w:r>
              <w:rPr>
                <w:rFonts w:ascii="Calibri" w:hAnsi="Calibri"/>
                <w:b w:val="0"/>
                <w:i w:val="0"/>
                <w:color w:val="000000"/>
                <w:sz w:val="21"/>
              </w:rPr>
              <w:t>Deployment readiness checks passed for health, readiness, security headers, storage, and endpoint coverage.</w:t>
            </w:r>
          </w:p>
        </w:tc>
        <w:tc>
          <w:tcPr>
            <w:tcW w:type="dxa" w:w="936"/>
            <w:tcMar>
              <w:top w:w="80" w:type="dxa"/>
              <w:start w:w="120" w:type="dxa"/>
              <w:bottom w:w="80" w:type="dxa"/>
              <w:end w:w="120" w:type="dxa"/>
            </w:tcMar>
          </w:tcPr>
          <w:p>
            <w:pPr>
              <w:spacing w:before="0" w:after="0" w:line="240" w:lineRule="auto"/>
            </w:pPr>
            <w:r>
              <w:rPr>
                <w:rFonts w:ascii="Calibri" w:hAnsi="Calibri"/>
                <w:b w:val="0"/>
                <w:i w:val="0"/>
                <w:color w:val="000000"/>
                <w:sz w:val="21"/>
              </w:rPr>
              <w:t>PASS</w:t>
            </w:r>
          </w:p>
        </w:tc>
      </w:tr>
    </w:tbl>
    <w:p>
      <w:pPr>
        <w:pStyle w:val="Heading2"/>
        <w:spacing w:before="240" w:after="120" w:line="264" w:lineRule="auto"/>
      </w:pPr>
      <w:r>
        <w:rPr>
          <w:rFonts w:ascii="Calibri" w:hAnsi="Calibri"/>
          <w:b/>
          <w:i w:val="0"/>
          <w:color w:val="2E74B5"/>
          <w:sz w:val="26"/>
        </w:rPr>
        <w:t>5.1 Notes</w:t>
      </w:r>
    </w:p>
    <w:p>
      <w:pPr>
        <w:pStyle w:val="ListBullet"/>
        <w:spacing w:before="0" w:after="80" w:line="264" w:lineRule="auto"/>
      </w:pPr>
      <w:r>
        <w:rPr>
          <w:rFonts w:ascii="Calibri" w:hAnsi="Calibri"/>
          <w:b w:val="0"/>
          <w:i w:val="0"/>
          <w:color w:val="000000"/>
          <w:sz w:val="22"/>
        </w:rPr>
        <w:t>The smoke suite covers routine, urgent, administrative, payer, and regulated-workflow routes.</w:t>
      </w:r>
    </w:p>
    <w:p>
      <w:pPr>
        <w:pStyle w:val="ListBullet"/>
        <w:spacing w:before="0" w:after="80" w:line="264" w:lineRule="auto"/>
      </w:pPr>
      <w:r>
        <w:rPr>
          <w:rFonts w:ascii="Calibri" w:hAnsi="Calibri"/>
          <w:b w:val="0"/>
          <w:i w:val="0"/>
          <w:color w:val="000000"/>
          <w:sz w:val="22"/>
        </w:rPr>
        <w:t>Deployment checks confirm offline-first readiness, local persistence, and major status endpoints.</w:t>
      </w:r>
    </w:p>
    <w:p>
      <w:pPr>
        <w:pStyle w:val="ListBullet"/>
        <w:spacing w:before="0" w:after="80" w:line="264" w:lineRule="auto"/>
      </w:pPr>
      <w:r>
        <w:rPr>
          <w:rFonts w:ascii="Calibri" w:hAnsi="Calibri"/>
          <w:b w:val="0"/>
          <w:i w:val="0"/>
          <w:color w:val="000000"/>
          <w:sz w:val="22"/>
        </w:rPr>
        <w:t>The repository does not currently expose an explicit automated code-coverage report.</w:t>
      </w:r>
    </w:p>
    <w:p>
      <w:r>
        <w:br w:type="page"/>
      </w:r>
    </w:p>
    <w:p>
      <w:pPr>
        <w:pStyle w:val="Heading1"/>
        <w:spacing w:before="320" w:after="160" w:line="264" w:lineRule="auto"/>
      </w:pPr>
      <w:r>
        <w:rPr>
          <w:rFonts w:ascii="Calibri" w:hAnsi="Calibri"/>
          <w:b/>
          <w:i w:val="0"/>
          <w:color w:val="2E74B5"/>
          <w:sz w:val="32"/>
        </w:rPr>
        <w:t>6. Detailed Architecture Research</w:t>
      </w:r>
    </w:p>
    <w:p>
      <w:pPr>
        <w:spacing w:before="0" w:after="160" w:line="264" w:lineRule="auto"/>
      </w:pPr>
      <w:r>
        <w:rPr>
          <w:rFonts w:ascii="Calibri" w:hAnsi="Calibri"/>
          <w:b w:val="0"/>
          <w:i w:val="0"/>
          <w:color w:val="000000"/>
          <w:sz w:val="22"/>
        </w:rPr>
        <w:t>This appendix merges the code-grounded architecture research into the submission package so the technical design, runtime flow, persistence model, knowledge layer, and governance details stay in one review-ready document.</w:t>
      </w:r>
    </w:p>
    <w:p>
      <w:pPr>
        <w:spacing w:before="320" w:after="160" w:line="264" w:lineRule="auto"/>
      </w:pPr>
      <w:r>
        <w:rPr>
          <w:rFonts w:ascii="Calibri" w:hAnsi="Calibri"/>
          <w:b/>
          <w:i w:val="0"/>
          <w:color w:val="2E74B5"/>
          <w:sz w:val="32"/>
        </w:rPr>
        <w:t>1. What This Model Is</w:t>
      </w:r>
    </w:p>
    <w:p>
      <w:pPr>
        <w:spacing w:before="0" w:after="120" w:line="276" w:lineRule="auto"/>
      </w:pPr>
      <w:r>
        <w:rPr>
          <w:rFonts w:ascii="Calibri" w:hAnsi="Calibri"/>
          <w:b w:val="0"/>
          <w:i w:val="0"/>
          <w:color w:val="112133"/>
          <w:sz w:val="22"/>
        </w:rPr>
        <w:t>At runtime, Care Nova AI behaves as a multi-stage orchestration system rather than as a generic chatbot. The core of the product is the pairing of server.js and src/healthEngine.js. The server owns request handling, health probes, data loading, persistence, and post-processing. The health engine owns normalization, intent routing, risk scoring, knowledge retrieval, agent execution, synthesis, and guardrails.</w:t>
      </w:r>
    </w:p>
    <w:p>
      <w:pPr>
        <w:pStyle w:val="ListBullet"/>
        <w:spacing w:before="0" w:after="80" w:line="276" w:lineRule="auto"/>
      </w:pPr>
      <w:r>
        <w:rPr>
          <w:rFonts w:ascii="Calibri" w:hAnsi="Calibri"/>
          <w:b w:val="0"/>
          <w:i w:val="0"/>
          <w:color w:val="112133"/>
          <w:sz w:val="22"/>
        </w:rPr>
        <w:t>Local-first healthcare workspace: the default path is designed to work with local storage, local knowledge, and local fallbacks before any online dependency is considered.</w:t>
      </w:r>
    </w:p>
    <w:p>
      <w:pPr>
        <w:pStyle w:val="ListBullet"/>
        <w:spacing w:before="0" w:after="80" w:line="276" w:lineRule="auto"/>
      </w:pPr>
      <w:r>
        <w:rPr>
          <w:rFonts w:ascii="Calibri" w:hAnsi="Calibri"/>
          <w:b w:val="0"/>
          <w:i w:val="0"/>
          <w:color w:val="112133"/>
          <w:sz w:val="22"/>
        </w:rPr>
        <w:t>Agentic workflow engine: user requests are classified, routed, executed through one or more specialist agents, and consolidated into a single guarded answer.</w:t>
      </w:r>
    </w:p>
    <w:p>
      <w:pPr>
        <w:pStyle w:val="ListBullet"/>
        <w:spacing w:before="0" w:after="80" w:line="276" w:lineRule="auto"/>
      </w:pPr>
      <w:r>
        <w:rPr>
          <w:rFonts w:ascii="Calibri" w:hAnsi="Calibri"/>
          <w:b w:val="0"/>
          <w:i w:val="0"/>
          <w:color w:val="112133"/>
          <w:sz w:val="22"/>
        </w:rPr>
        <w:t>Retrieval-augmented and memory-aware: the system combines offline medical records, patient memory, saved records, and a patient knowledge graph when reasoning.</w:t>
      </w:r>
    </w:p>
    <w:p>
      <w:pPr>
        <w:pStyle w:val="ListBullet"/>
        <w:spacing w:before="0" w:after="80" w:line="276" w:lineRule="auto"/>
      </w:pPr>
      <w:r>
        <w:rPr>
          <w:rFonts w:ascii="Calibri" w:hAnsi="Calibri"/>
          <w:b w:val="0"/>
          <w:i w:val="0"/>
          <w:color w:val="112133"/>
          <w:sz w:val="22"/>
        </w:rPr>
        <w:t>LLM-optional architecture: deterministic outputs always exist; local open-source and cloud models are treated as optional enhancement layers.</w:t>
      </w:r>
    </w:p>
    <w:p>
      <w:pPr>
        <w:pStyle w:val="ListBullet"/>
        <w:spacing w:before="0" w:after="80" w:line="276" w:lineRule="auto"/>
      </w:pPr>
      <w:r>
        <w:rPr>
          <w:rFonts w:ascii="Calibri" w:hAnsi="Calibri"/>
          <w:b w:val="0"/>
          <w:i w:val="0"/>
          <w:color w:val="112133"/>
          <w:sz w:val="22"/>
        </w:rPr>
        <w:t>Safety-bounded runtime: the answer is explicitly constrained by no-diagnosis, no-prescribing, no-dose-calculation, and no-live-action boundaries.</w:t>
      </w:r>
    </w:p>
    <w:p>
      <w:pPr>
        <w:spacing w:before="320" w:after="160" w:line="264" w:lineRule="auto"/>
      </w:pPr>
      <w:r>
        <w:rPr>
          <w:rFonts w:ascii="Calibri" w:hAnsi="Calibri"/>
          <w:b/>
          <w:i w:val="0"/>
          <w:color w:val="2E74B5"/>
          <w:sz w:val="32"/>
        </w:rPr>
        <w:t>2. The Build Strategy</w:t>
      </w:r>
    </w:p>
    <w:p>
      <w:pPr>
        <w:spacing w:before="0" w:after="120" w:line="276" w:lineRule="auto"/>
      </w:pPr>
      <w:r>
        <w:rPr>
          <w:rFonts w:ascii="Calibri" w:hAnsi="Calibri"/>
          <w:b w:val="0"/>
          <w:i w:val="0"/>
          <w:color w:val="112133"/>
          <w:sz w:val="22"/>
        </w:rPr>
        <w:t>The repository is organized as a layered web application. The model is built by composing focused modules rather than by embedding all logic in a single file. That separation is the main reason the project can support many tabs, many specialist routes, offline operation, GitHub packaging, and multiple runtime modes.</w:t>
      </w:r>
    </w:p>
    <w:tbl>
      <w:tblPr>
        <w:tblStyle w:val="TableGrid"/>
        <w:tblW w:type="auto" w:w="0"/>
        <w:tblLayout w:type="fixed"/>
        <w:tblLook w:firstColumn="1" w:firstRow="1" w:lastColumn="0" w:lastRow="0" w:noHBand="0" w:noVBand="1" w:val="04A0"/>
      </w:tblPr>
      <w:tblGrid>
        <w:gridCol w:w="1944"/>
        <w:gridCol w:w="3240"/>
        <w:gridCol w:w="4176"/>
      </w:tblGrid>
      <w:tr>
        <w:trPr>
          <w:tblHeader w:val="true"/>
        </w:trPr>
        <w:tc>
          <w:tcPr>
            <w:tcW w:type="dxa" w:w="1944"/>
            <w:tcMar>
              <w:top w:w="90" w:type="dxa"/>
              <w:start w:w="120" w:type="dxa"/>
              <w:bottom w:w="90" w:type="dxa"/>
              <w:end w:w="120" w:type="dxa"/>
            </w:tcMar>
            <w:shd w:fill="F3F6FA"/>
          </w:tcPr>
          <w:p>
            <w:pPr>
              <w:spacing w:before="0" w:after="0" w:line="240" w:lineRule="auto"/>
            </w:pPr>
            <w:r>
              <w:rPr>
                <w:rFonts w:ascii="Calibri" w:hAnsi="Calibri"/>
                <w:b/>
                <w:i w:val="0"/>
                <w:color w:val="576779"/>
                <w:sz w:val="20"/>
              </w:rPr>
              <w:t>Layer</w:t>
            </w:r>
          </w:p>
        </w:tc>
        <w:tc>
          <w:tcPr>
            <w:tcW w:type="dxa" w:w="3240"/>
            <w:tcMar>
              <w:top w:w="90" w:type="dxa"/>
              <w:start w:w="120" w:type="dxa"/>
              <w:bottom w:w="90" w:type="dxa"/>
              <w:end w:w="120" w:type="dxa"/>
            </w:tcMar>
            <w:shd w:fill="F3F6FA"/>
          </w:tcPr>
          <w:p>
            <w:pPr>
              <w:spacing w:before="0" w:after="0" w:line="240" w:lineRule="auto"/>
            </w:pPr>
            <w:r>
              <w:rPr>
                <w:rFonts w:ascii="Calibri" w:hAnsi="Calibri"/>
                <w:b/>
                <w:i w:val="0"/>
                <w:color w:val="576779"/>
                <w:sz w:val="20"/>
              </w:rPr>
              <w:t>Main files</w:t>
            </w:r>
          </w:p>
        </w:tc>
        <w:tc>
          <w:tcPr>
            <w:tcW w:type="dxa" w:w="4176"/>
            <w:tcMar>
              <w:top w:w="90" w:type="dxa"/>
              <w:start w:w="120" w:type="dxa"/>
              <w:bottom w:w="90" w:type="dxa"/>
              <w:end w:w="120" w:type="dxa"/>
            </w:tcMar>
            <w:shd w:fill="F3F6FA"/>
          </w:tcPr>
          <w:p>
            <w:pPr>
              <w:spacing w:before="0" w:after="0" w:line="240" w:lineRule="auto"/>
            </w:pPr>
            <w:r>
              <w:rPr>
                <w:rFonts w:ascii="Calibri" w:hAnsi="Calibri"/>
                <w:b/>
                <w:i w:val="0"/>
                <w:color w:val="576779"/>
                <w:sz w:val="20"/>
              </w:rPr>
              <w:t>Responsibility</w:t>
            </w:r>
          </w:p>
        </w:tc>
      </w:tr>
      <w:tr>
        <w:tc>
          <w:tcPr>
            <w:tcW w:type="dxa" w:w="1944"/>
          </w:tcPr>
          <w:p>
            <w:pPr>
              <w:spacing w:before="0" w:after="0" w:line="240" w:lineRule="auto"/>
            </w:pPr>
            <w:r>
              <w:rPr>
                <w:rFonts w:ascii="Calibri" w:hAnsi="Calibri"/>
                <w:b w:val="0"/>
                <w:i w:val="0"/>
                <w:color w:val="112133"/>
                <w:sz w:val="20"/>
              </w:rPr>
              <w:t>Browser shell</w:t>
            </w:r>
          </w:p>
        </w:tc>
        <w:tc>
          <w:tcPr>
            <w:tcW w:type="dxa" w:w="3240"/>
          </w:tcPr>
          <w:p>
            <w:pPr>
              <w:spacing w:before="0" w:after="0" w:line="240" w:lineRule="auto"/>
            </w:pPr>
            <w:r>
              <w:rPr>
                <w:rFonts w:ascii="Calibri" w:hAnsi="Calibri"/>
                <w:b w:val="0"/>
                <w:i w:val="0"/>
                <w:color w:val="112133"/>
                <w:sz w:val="20"/>
              </w:rPr>
              <w:t>public/index.html, public/app.js, public/styles.css, public/sw.js</w:t>
            </w:r>
          </w:p>
        </w:tc>
        <w:tc>
          <w:tcPr>
            <w:tcW w:type="dxa" w:w="4176"/>
          </w:tcPr>
          <w:p>
            <w:pPr>
              <w:spacing w:before="0" w:after="0" w:line="240" w:lineRule="auto"/>
            </w:pPr>
            <w:r>
              <w:rPr>
                <w:rFonts w:ascii="Calibri" w:hAnsi="Calibri"/>
                <w:b w:val="0"/>
                <w:i w:val="0"/>
                <w:color w:val="112133"/>
                <w:sz w:val="20"/>
              </w:rPr>
              <w:t>Renders the workspace, manages tabs and modes, captures inputs, calls APIs, stores lightweight UI state in localStorage, and supports installable PWA behavior.</w:t>
            </w:r>
          </w:p>
        </w:tc>
      </w:tr>
      <w:tr>
        <w:tc>
          <w:tcPr>
            <w:tcW w:type="dxa" w:w="1944"/>
          </w:tcPr>
          <w:p>
            <w:pPr>
              <w:spacing w:before="0" w:after="0" w:line="240" w:lineRule="auto"/>
            </w:pPr>
            <w:r>
              <w:rPr>
                <w:rFonts w:ascii="Calibri" w:hAnsi="Calibri"/>
                <w:b w:val="0"/>
                <w:i w:val="0"/>
                <w:color w:val="112133"/>
                <w:sz w:val="20"/>
              </w:rPr>
              <w:t>HTTP server</w:t>
            </w:r>
          </w:p>
        </w:tc>
        <w:tc>
          <w:tcPr>
            <w:tcW w:type="dxa" w:w="3240"/>
          </w:tcPr>
          <w:p>
            <w:pPr>
              <w:spacing w:before="0" w:after="0" w:line="240" w:lineRule="auto"/>
            </w:pPr>
            <w:r>
              <w:rPr>
                <w:rFonts w:ascii="Calibri" w:hAnsi="Calibri"/>
                <w:b w:val="0"/>
                <w:i w:val="0"/>
                <w:color w:val="112133"/>
                <w:sz w:val="20"/>
              </w:rPr>
              <w:t>server.js</w:t>
            </w:r>
          </w:p>
        </w:tc>
        <w:tc>
          <w:tcPr>
            <w:tcW w:type="dxa" w:w="4176"/>
          </w:tcPr>
          <w:p>
            <w:pPr>
              <w:spacing w:before="0" w:after="0" w:line="240" w:lineRule="auto"/>
            </w:pPr>
            <w:r>
              <w:rPr>
                <w:rFonts w:ascii="Calibri" w:hAnsi="Calibri"/>
                <w:b w:val="0"/>
                <w:i w:val="0"/>
                <w:color w:val="112133"/>
                <w:sz w:val="20"/>
              </w:rPr>
              <w:t>Serves static assets, exposes the API surface, loads memory and records, invokes the core engine, applies optional LLM assists, and persists outputs.</w:t>
            </w:r>
          </w:p>
        </w:tc>
      </w:tr>
      <w:tr>
        <w:tc>
          <w:tcPr>
            <w:tcW w:type="dxa" w:w="1944"/>
          </w:tcPr>
          <w:p>
            <w:pPr>
              <w:spacing w:before="0" w:after="0" w:line="240" w:lineRule="auto"/>
            </w:pPr>
            <w:r>
              <w:rPr>
                <w:rFonts w:ascii="Calibri" w:hAnsi="Calibri"/>
                <w:b w:val="0"/>
                <w:i w:val="0"/>
                <w:color w:val="112133"/>
                <w:sz w:val="20"/>
              </w:rPr>
              <w:t>Core orchestration</w:t>
            </w:r>
          </w:p>
        </w:tc>
        <w:tc>
          <w:tcPr>
            <w:tcW w:type="dxa" w:w="3240"/>
          </w:tcPr>
          <w:p>
            <w:pPr>
              <w:spacing w:before="0" w:after="0" w:line="240" w:lineRule="auto"/>
            </w:pPr>
            <w:r>
              <w:rPr>
                <w:rFonts w:ascii="Calibri" w:hAnsi="Calibri"/>
                <w:b w:val="0"/>
                <w:i w:val="0"/>
                <w:color w:val="112133"/>
                <w:sz w:val="20"/>
              </w:rPr>
              <w:t>src/healthEngine.js, src/agenticRuntime.js</w:t>
            </w:r>
          </w:p>
        </w:tc>
        <w:tc>
          <w:tcPr>
            <w:tcW w:type="dxa" w:w="4176"/>
          </w:tcPr>
          <w:p>
            <w:pPr>
              <w:spacing w:before="0" w:after="0" w:line="240" w:lineRule="auto"/>
            </w:pPr>
            <w:r>
              <w:rPr>
                <w:rFonts w:ascii="Calibri" w:hAnsi="Calibri"/>
                <w:b w:val="0"/>
                <w:i w:val="0"/>
                <w:color w:val="112133"/>
                <w:sz w:val="20"/>
              </w:rPr>
              <w:t>Normalizes requests, classifies intents, scores risk, builds plans, runs agents, synthesizes responses, and explains runtime decisions.</w:t>
            </w:r>
          </w:p>
        </w:tc>
      </w:tr>
      <w:tr>
        <w:tc>
          <w:tcPr>
            <w:tcW w:type="dxa" w:w="1944"/>
          </w:tcPr>
          <w:p>
            <w:pPr>
              <w:spacing w:before="0" w:after="0" w:line="240" w:lineRule="auto"/>
            </w:pPr>
            <w:r>
              <w:rPr>
                <w:rFonts w:ascii="Calibri" w:hAnsi="Calibri"/>
                <w:b w:val="0"/>
                <w:i w:val="0"/>
                <w:color w:val="112133"/>
                <w:sz w:val="20"/>
              </w:rPr>
              <w:t>Knowledge and ranking</w:t>
            </w:r>
          </w:p>
        </w:tc>
        <w:tc>
          <w:tcPr>
            <w:tcW w:type="dxa" w:w="3240"/>
          </w:tcPr>
          <w:p>
            <w:pPr>
              <w:spacing w:before="0" w:after="0" w:line="240" w:lineRule="auto"/>
            </w:pPr>
            <w:r>
              <w:rPr>
                <w:rFonts w:ascii="Calibri" w:hAnsi="Calibri"/>
                <w:b w:val="0"/>
                <w:i w:val="0"/>
                <w:color w:val="112133"/>
                <w:sz w:val="20"/>
              </w:rPr>
              <w:t>src/offlineMedicalDatabase.js, src/localAiEngine.js, scripts/build-offline-repository.js</w:t>
            </w:r>
          </w:p>
        </w:tc>
        <w:tc>
          <w:tcPr>
            <w:tcW w:type="dxa" w:w="4176"/>
          </w:tcPr>
          <w:p>
            <w:pPr>
              <w:spacing w:before="0" w:after="0" w:line="240" w:lineRule="auto"/>
            </w:pPr>
            <w:r>
              <w:rPr>
                <w:rFonts w:ascii="Calibri" w:hAnsi="Calibri"/>
                <w:b w:val="0"/>
                <w:i w:val="0"/>
                <w:color w:val="112133"/>
                <w:sz w:val="20"/>
              </w:rPr>
              <w:t>Loads the offline repository and ranks evidence using lexical, entity, semantic-family, route, and safety-aware scoring.</w:t>
            </w:r>
          </w:p>
        </w:tc>
      </w:tr>
      <w:tr>
        <w:tc>
          <w:tcPr>
            <w:tcW w:type="dxa" w:w="1944"/>
          </w:tcPr>
          <w:p>
            <w:pPr>
              <w:spacing w:before="0" w:after="0" w:line="240" w:lineRule="auto"/>
            </w:pPr>
            <w:r>
              <w:rPr>
                <w:rFonts w:ascii="Calibri" w:hAnsi="Calibri"/>
                <w:b w:val="0"/>
                <w:i w:val="0"/>
                <w:color w:val="112133"/>
                <w:sz w:val="20"/>
              </w:rPr>
              <w:t>Model routing and optional LLMs</w:t>
            </w:r>
          </w:p>
        </w:tc>
        <w:tc>
          <w:tcPr>
            <w:tcW w:type="dxa" w:w="3240"/>
          </w:tcPr>
          <w:p>
            <w:pPr>
              <w:spacing w:before="0" w:after="0" w:line="240" w:lineRule="auto"/>
            </w:pPr>
            <w:r>
              <w:rPr>
                <w:rFonts w:ascii="Calibri" w:hAnsi="Calibri"/>
                <w:b w:val="0"/>
                <w:i w:val="0"/>
                <w:color w:val="112133"/>
                <w:sz w:val="20"/>
              </w:rPr>
              <w:t>src/hybridModelRouter.js, src/openSourceLocalRuntime.js, src/localReasoningGateway.js, src/specialistLlmGateway.js, src/cloudLlmGateway.js</w:t>
            </w:r>
          </w:p>
        </w:tc>
        <w:tc>
          <w:tcPr>
            <w:tcW w:type="dxa" w:w="4176"/>
          </w:tcPr>
          <w:p>
            <w:pPr>
              <w:spacing w:before="0" w:after="0" w:line="240" w:lineRule="auto"/>
            </w:pPr>
            <w:r>
              <w:rPr>
                <w:rFonts w:ascii="Calibri" w:hAnsi="Calibri"/>
                <w:b w:val="0"/>
                <w:i w:val="0"/>
                <w:color w:val="112133"/>
                <w:sz w:val="20"/>
              </w:rPr>
              <w:t>Chooses local vs cloud processing, probes Ollama/LM Studio style runtimes, and performs route-aware refinement when configured.</w:t>
            </w:r>
          </w:p>
        </w:tc>
      </w:tr>
      <w:tr>
        <w:tc>
          <w:tcPr>
            <w:tcW w:type="dxa" w:w="1944"/>
          </w:tcPr>
          <w:p>
            <w:pPr>
              <w:spacing w:before="0" w:after="0" w:line="240" w:lineRule="auto"/>
            </w:pPr>
            <w:r>
              <w:rPr>
                <w:rFonts w:ascii="Calibri" w:hAnsi="Calibri"/>
                <w:b w:val="0"/>
                <w:i w:val="0"/>
                <w:color w:val="112133"/>
                <w:sz w:val="20"/>
              </w:rPr>
              <w:t>Persistent data and mirrors</w:t>
            </w:r>
          </w:p>
        </w:tc>
        <w:tc>
          <w:tcPr>
            <w:tcW w:type="dxa" w:w="3240"/>
          </w:tcPr>
          <w:p>
            <w:pPr>
              <w:spacing w:before="0" w:after="0" w:line="240" w:lineRule="auto"/>
            </w:pPr>
            <w:r>
              <w:rPr>
                <w:rFonts w:ascii="Calibri" w:hAnsi="Calibri"/>
                <w:b w:val="0"/>
                <w:i w:val="0"/>
                <w:color w:val="112133"/>
                <w:sz w:val="20"/>
              </w:rPr>
              <w:t>src/memoryStore.js, src/recordStore.js, src/knowledgeGraphStore.js, src/localDataMirror.js, src/trainingEngine.js</w:t>
            </w:r>
          </w:p>
        </w:tc>
        <w:tc>
          <w:tcPr>
            <w:tcW w:type="dxa" w:w="4176"/>
          </w:tcPr>
          <w:p>
            <w:pPr>
              <w:spacing w:before="0" w:after="0" w:line="240" w:lineRule="auto"/>
            </w:pPr>
            <w:r>
              <w:rPr>
                <w:rFonts w:ascii="Calibri" w:hAnsi="Calibri"/>
                <w:b w:val="0"/>
                <w:i w:val="0"/>
                <w:color w:val="112133"/>
                <w:sz w:val="20"/>
              </w:rPr>
              <w:t>Stores patient memory, records, graph facts, data mirrors, and training/calibration state on the local machine.</w:t>
            </w:r>
          </w:p>
        </w:tc>
      </w:tr>
    </w:tbl>
    <w:p/>
    <w:p>
      <w:pPr>
        <w:spacing w:before="320" w:after="160" w:line="264" w:lineRule="auto"/>
      </w:pPr>
      <w:r>
        <w:rPr>
          <w:rFonts w:ascii="Calibri" w:hAnsi="Calibri"/>
          <w:b/>
          <w:i w:val="0"/>
          <w:color w:val="2E74B5"/>
          <w:sz w:val="32"/>
        </w:rPr>
        <w:t>3. End-to-End Runtime Flow</w:t>
      </w:r>
    </w:p>
    <w:p>
      <w:pPr>
        <w:spacing w:before="0" w:after="120" w:line="276" w:lineRule="auto"/>
      </w:pPr>
      <w:r>
        <w:rPr>
          <w:rFonts w:ascii="Calibri" w:hAnsi="Calibri"/>
          <w:b w:val="0"/>
          <w:i w:val="0"/>
          <w:color w:val="112133"/>
          <w:sz w:val="22"/>
        </w:rPr>
        <w:t>The main request path is implemented across POST /api/analyze in server.js and analyzeHealthQuery() in src/healthEngine.js. The sequence below reflects the current implementation, including the optional local and cloud post-processors.</w:t>
      </w:r>
    </w:p>
    <w:tbl>
      <w:tblPr>
        <w:tblStyle w:val="TableGrid"/>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8FAFC"/>
          </w:tcPr>
          <w:p>
            <w:pPr>
              <w:spacing w:before="0" w:after="0" w:line="240" w:lineRule="auto"/>
            </w:pPr>
            <w:r>
              <w:rPr>
                <w:rFonts w:ascii="Courier New" w:hAnsi="Courier New"/>
                <w:b w:val="0"/>
                <w:i w:val="0"/>
                <w:color w:val="112133"/>
                <w:sz w:val="19"/>
              </w:rPr>
              <w:t>Browser UI (public/app.js)</w:t>
              <w:br/>
            </w:r>
            <w:r>
              <w:rPr>
                <w:rFonts w:ascii="Courier New" w:hAnsi="Courier New"/>
                <w:b w:val="0"/>
                <w:i w:val="0"/>
                <w:color w:val="112133"/>
                <w:sz w:val="19"/>
              </w:rPr>
              <w:t xml:space="preserve">  -&gt; POST /api/analyze or POST /api/realtime</w:t>
              <w:br/>
            </w:r>
            <w:r>
              <w:rPr>
                <w:rFonts w:ascii="Courier New" w:hAnsi="Courier New"/>
                <w:b w:val="0"/>
                <w:i w:val="0"/>
                <w:color w:val="112133"/>
                <w:sz w:val="19"/>
              </w:rPr>
              <w:t xml:space="preserve">  -&gt; server.js loads memory, records, external cache, training calibration</w:t>
              <w:br/>
            </w:r>
            <w:r>
              <w:rPr>
                <w:rFonts w:ascii="Courier New" w:hAnsi="Courier New"/>
                <w:b w:val="0"/>
                <w:i w:val="0"/>
                <w:color w:val="112133"/>
                <w:sz w:val="19"/>
              </w:rPr>
              <w:t xml:space="preserve">  -&gt; analyzeHealthQuery() normalizes input and builds requirement profile</w:t>
              <w:br/>
            </w:r>
            <w:r>
              <w:rPr>
                <w:rFonts w:ascii="Courier New" w:hAnsi="Courier New"/>
                <w:b w:val="0"/>
                <w:i w:val="0"/>
                <w:color w:val="112133"/>
                <w:sz w:val="19"/>
              </w:rPr>
              <w:t xml:space="preserve">  -&gt; classifyIntents() + calculateRisk()</w:t>
              <w:br/>
            </w:r>
            <w:r>
              <w:rPr>
                <w:rFonts w:ascii="Courier New" w:hAnsi="Courier New"/>
                <w:b w:val="0"/>
                <w:i w:val="0"/>
                <w:color w:val="112133"/>
                <w:sz w:val="19"/>
              </w:rPr>
              <w:t xml:space="preserve">  -&gt; retrieveMedicalKnowledge() using offline repository and optional cached external knowledge</w:t>
              <w:br/>
            </w:r>
            <w:r>
              <w:rPr>
                <w:rFonts w:ascii="Courier New" w:hAnsi="Courier New"/>
                <w:b w:val="0"/>
                <w:i w:val="0"/>
                <w:color w:val="112133"/>
                <w:sz w:val="19"/>
              </w:rPr>
              <w:t xml:space="preserve">  -&gt; buildExecutionPlan() + applySingleAgentScope() + precision supervision</w:t>
              <w:br/>
            </w:r>
            <w:r>
              <w:rPr>
                <w:rFonts w:ascii="Courier New" w:hAnsi="Courier New"/>
                <w:b w:val="0"/>
                <w:i w:val="0"/>
                <w:color w:val="112133"/>
                <w:sz w:val="19"/>
              </w:rPr>
              <w:t xml:space="preserve">  -&gt; selectHybridModelRoute() + buildLlmCognitiveCore()</w:t>
              <w:br/>
            </w:r>
            <w:r>
              <w:rPr>
                <w:rFonts w:ascii="Courier New" w:hAnsi="Courier New"/>
                <w:b w:val="0"/>
                <w:i w:val="0"/>
                <w:color w:val="112133"/>
                <w:sz w:val="19"/>
              </w:rPr>
              <w:t xml:space="preserve">  -&gt; runAgentPlan() executes route-specific deterministic specialists</w:t>
              <w:br/>
            </w:r>
            <w:r>
              <w:rPr>
                <w:rFonts w:ascii="Courier New" w:hAnsi="Courier New"/>
                <w:b w:val="0"/>
                <w:i w:val="0"/>
                <w:color w:val="112133"/>
                <w:sz w:val="19"/>
              </w:rPr>
              <w:t xml:space="preserve">  -&gt; tryEnhanceSpecialistAgentResultsWithLlm() optionally refines specialist outputs</w:t>
              <w:br/>
            </w:r>
            <w:r>
              <w:rPr>
                <w:rFonts w:ascii="Courier New" w:hAnsi="Courier New"/>
                <w:b w:val="0"/>
                <w:i w:val="0"/>
                <w:color w:val="112133"/>
                <w:sz w:val="19"/>
              </w:rPr>
              <w:t xml:space="preserve">  -&gt; synthesizeResponse() creates the patient-facing answer</w:t>
              <w:br/>
            </w:r>
            <w:r>
              <w:rPr>
                <w:rFonts w:ascii="Courier New" w:hAnsi="Courier New"/>
                <w:b w:val="0"/>
                <w:i w:val="0"/>
                <w:color w:val="112133"/>
                <w:sz w:val="19"/>
              </w:rPr>
              <w:t xml:space="preserve">  -&gt; applyGuardrails() checks no-diagnosis / no-prescribing / no-dosage wording</w:t>
              <w:br/>
            </w:r>
            <w:r>
              <w:rPr>
                <w:rFonts w:ascii="Courier New" w:hAnsi="Courier New"/>
                <w:b w:val="0"/>
                <w:i w:val="0"/>
                <w:color w:val="112133"/>
                <w:sz w:val="19"/>
              </w:rPr>
              <w:t xml:space="preserve">  -&gt; server.js optionally applies local reasoning assist and cloud second pass</w:t>
              <w:br/>
            </w:r>
            <w:r>
              <w:rPr>
                <w:rFonts w:ascii="Courier New" w:hAnsi="Courier New"/>
                <w:b w:val="0"/>
                <w:i w:val="0"/>
                <w:color w:val="112133"/>
                <w:sz w:val="19"/>
              </w:rPr>
              <w:t xml:space="preserve">  -&gt; appendPatientMemory() + upsertPatientKnowledgeGraph() + syncLocalDataMirror()</w:t>
              <w:br/>
            </w:r>
            <w:r>
              <w:rPr>
                <w:rFonts w:ascii="Courier New" w:hAnsi="Courier New"/>
                <w:b w:val="0"/>
                <w:i w:val="0"/>
                <w:color w:val="112133"/>
                <w:sz w:val="19"/>
              </w:rPr>
              <w:t xml:space="preserve">  -&gt; JSON result returned to UI and rendered in the active tab</w:t>
            </w:r>
          </w:p>
        </w:tc>
      </w:tr>
    </w:tbl>
    <w:p/>
    <w:p>
      <w:pPr>
        <w:pStyle w:val="ListNumber"/>
        <w:spacing w:before="0" w:after="80" w:line="276" w:lineRule="auto"/>
      </w:pPr>
      <w:r>
        <w:rPr>
          <w:rFonts w:ascii="Calibri" w:hAnsi="Calibri"/>
          <w:b w:val="0"/>
          <w:i w:val="0"/>
          <w:color w:val="112133"/>
          <w:sz w:val="22"/>
        </w:rPr>
        <w:t>The UI captures a free-text health request plus optional structured profile, vitals, and context values.</w:t>
      </w:r>
    </w:p>
    <w:p>
      <w:pPr>
        <w:pStyle w:val="ListNumber"/>
        <w:spacing w:before="0" w:after="80" w:line="276" w:lineRule="auto"/>
      </w:pPr>
      <w:r>
        <w:rPr>
          <w:rFonts w:ascii="Calibri" w:hAnsi="Calibri"/>
          <w:b w:val="0"/>
          <w:i w:val="0"/>
          <w:color w:val="112133"/>
          <w:sz w:val="22"/>
        </w:rPr>
        <w:t>The server merges the request with saved patient profile data, prior memory, stored records, and training calibration before analysis begins.</w:t>
      </w:r>
    </w:p>
    <w:p>
      <w:pPr>
        <w:pStyle w:val="ListNumber"/>
        <w:spacing w:before="0" w:after="80" w:line="276" w:lineRule="auto"/>
      </w:pPr>
      <w:r>
        <w:rPr>
          <w:rFonts w:ascii="Calibri" w:hAnsi="Calibri"/>
          <w:b w:val="0"/>
          <w:i w:val="0"/>
          <w:color w:val="112133"/>
          <w:sz w:val="22"/>
        </w:rPr>
        <w:t>The engine extracts additional vitals from the message itself, normalizes the profile and context, and builds input-quality and requirement-fit summaries.</w:t>
      </w:r>
    </w:p>
    <w:p>
      <w:pPr>
        <w:pStyle w:val="ListNumber"/>
        <w:spacing w:before="0" w:after="80" w:line="276" w:lineRule="auto"/>
      </w:pPr>
      <w:r>
        <w:rPr>
          <w:rFonts w:ascii="Calibri" w:hAnsi="Calibri"/>
          <w:b w:val="0"/>
          <w:i w:val="0"/>
          <w:color w:val="112133"/>
          <w:sz w:val="22"/>
        </w:rPr>
        <w:t>Intent classification determines which routes are relevant. Risk scoring then evaluates urgency using message content, vitals, context, and prior history.</w:t>
      </w:r>
    </w:p>
    <w:p>
      <w:pPr>
        <w:pStyle w:val="ListNumber"/>
        <w:spacing w:before="0" w:after="80" w:line="276" w:lineRule="auto"/>
      </w:pPr>
      <w:r>
        <w:rPr>
          <w:rFonts w:ascii="Calibri" w:hAnsi="Calibri"/>
          <w:b w:val="0"/>
          <w:i w:val="0"/>
          <w:color w:val="112133"/>
          <w:sz w:val="22"/>
        </w:rPr>
        <w:t>The retrieval layer builds a route-aware knowledge query and ranks local medical references from the offline repository.</w:t>
      </w:r>
    </w:p>
    <w:p>
      <w:pPr>
        <w:pStyle w:val="ListNumber"/>
        <w:spacing w:before="0" w:after="80" w:line="276" w:lineRule="auto"/>
      </w:pPr>
      <w:r>
        <w:rPr>
          <w:rFonts w:ascii="Calibri" w:hAnsi="Calibri"/>
          <w:b w:val="0"/>
          <w:i w:val="0"/>
          <w:color w:val="112133"/>
          <w:sz w:val="22"/>
        </w:rPr>
        <w:t>The planner decides whether this is a single-agent or multi-agent response and which route should own the answer.</w:t>
      </w:r>
    </w:p>
    <w:p>
      <w:pPr>
        <w:pStyle w:val="ListNumber"/>
        <w:spacing w:before="0" w:after="80" w:line="276" w:lineRule="auto"/>
      </w:pPr>
      <w:r>
        <w:rPr>
          <w:rFonts w:ascii="Calibri" w:hAnsi="Calibri"/>
          <w:b w:val="0"/>
          <w:i w:val="0"/>
          <w:color w:val="112133"/>
          <w:sz w:val="22"/>
        </w:rPr>
        <w:t>Deterministic specialist runners execute route-specific logic for general guidance, specialist review, vitals, medicines, labs, scheduling, safety, records, insurance, and operations paths.</w:t>
      </w:r>
    </w:p>
    <w:p>
      <w:pPr>
        <w:pStyle w:val="ListNumber"/>
        <w:spacing w:before="0" w:after="80" w:line="276" w:lineRule="auto"/>
      </w:pPr>
      <w:r>
        <w:rPr>
          <w:rFonts w:ascii="Calibri" w:hAnsi="Calibri"/>
          <w:b w:val="0"/>
          <w:i w:val="0"/>
          <w:color w:val="112133"/>
          <w:sz w:val="22"/>
        </w:rPr>
        <w:t>If configured, specialist LLM refinement runs on top of those deterministic outputs. This is a second pass, not the primary decision engine.</w:t>
      </w:r>
    </w:p>
    <w:p>
      <w:pPr>
        <w:pStyle w:val="ListNumber"/>
        <w:spacing w:before="0" w:after="80" w:line="276" w:lineRule="auto"/>
      </w:pPr>
      <w:r>
        <w:rPr>
          <w:rFonts w:ascii="Calibri" w:hAnsi="Calibri"/>
          <w:b w:val="0"/>
          <w:i w:val="0"/>
          <w:color w:val="112133"/>
          <w:sz w:val="22"/>
        </w:rPr>
        <w:t>The synthesizer creates one focused, patient-friendly response with actions, warning signs, support sections, and a disclaimer.</w:t>
      </w:r>
    </w:p>
    <w:p>
      <w:pPr>
        <w:pStyle w:val="ListNumber"/>
        <w:spacing w:before="0" w:after="80" w:line="276" w:lineRule="auto"/>
      </w:pPr>
      <w:r>
        <w:rPr>
          <w:rFonts w:ascii="Calibri" w:hAnsi="Calibri"/>
          <w:b w:val="0"/>
          <w:i w:val="0"/>
          <w:color w:val="112133"/>
          <w:sz w:val="22"/>
        </w:rPr>
        <w:t>Guardrails scan the final wording for blocked patterns such as diagnosis claims, prescribing language, or dosage instructions.</w:t>
      </w:r>
    </w:p>
    <w:p>
      <w:pPr>
        <w:pStyle w:val="ListNumber"/>
        <w:spacing w:before="0" w:after="80" w:line="276" w:lineRule="auto"/>
      </w:pPr>
      <w:r>
        <w:rPr>
          <w:rFonts w:ascii="Calibri" w:hAnsi="Calibri"/>
          <w:b w:val="0"/>
          <w:i w:val="0"/>
          <w:color w:val="112133"/>
          <w:sz w:val="22"/>
        </w:rPr>
        <w:t>After the answer is ready, the server can add local reasoning assist, cloud rewrite assist, evidence packets, doctor-ready notes, prevention plans, safety triage, and human review packets.</w:t>
      </w:r>
    </w:p>
    <w:p>
      <w:pPr>
        <w:pStyle w:val="ListNumber"/>
        <w:spacing w:before="0" w:after="80" w:line="276" w:lineRule="auto"/>
      </w:pPr>
      <w:r>
        <w:rPr>
          <w:rFonts w:ascii="Calibri" w:hAnsi="Calibri"/>
          <w:b w:val="0"/>
          <w:i w:val="0"/>
          <w:color w:val="112133"/>
          <w:sz w:val="22"/>
        </w:rPr>
        <w:t>The run is persisted locally into memory, records, graph facts, and mirror files so the next request starts with richer context.</w:t>
      </w:r>
    </w:p>
    <w:p>
      <w:pPr>
        <w:spacing w:before="320" w:after="160" w:line="264" w:lineRule="auto"/>
      </w:pPr>
      <w:r>
        <w:rPr>
          <w:rFonts w:ascii="Calibri" w:hAnsi="Calibri"/>
          <w:b/>
          <w:i w:val="0"/>
          <w:color w:val="2E74B5"/>
          <w:sz w:val="32"/>
        </w:rPr>
        <w:t>4. Agent Inventory</w:t>
      </w:r>
    </w:p>
    <w:p>
      <w:pPr>
        <w:spacing w:before="0" w:after="120" w:line="276" w:lineRule="auto"/>
      </w:pPr>
      <w:r>
        <w:rPr>
          <w:rFonts w:ascii="Calibri" w:hAnsi="Calibri"/>
          <w:b w:val="0"/>
          <w:i w:val="0"/>
          <w:color w:val="112133"/>
          <w:sz w:val="22"/>
        </w:rPr>
        <w:t>The execution engine maps routes to explicit runner functions. The patient-facing tabs are only one surface; underneath them, the engine owns a broader route catalog.</w:t>
      </w:r>
    </w:p>
    <w:tbl>
      <w:tblPr>
        <w:tblStyle w:val="TableGrid"/>
        <w:tblW w:type="auto" w:w="0"/>
        <w:tblLayout w:type="fixed"/>
        <w:tblLook w:firstColumn="1" w:firstRow="1" w:lastColumn="0" w:lastRow="0" w:noHBand="0" w:noVBand="1" w:val="04A0"/>
      </w:tblPr>
      <w:tblGrid>
        <w:gridCol w:w="2232"/>
        <w:gridCol w:w="2232"/>
        <w:gridCol w:w="4896"/>
      </w:tblGrid>
      <w:tr>
        <w:trPr>
          <w:tblHeader w:val="true"/>
        </w:trPr>
        <w:tc>
          <w:tcPr>
            <w:tcW w:type="dxa" w:w="2232"/>
            <w:tcMar>
              <w:top w:w="90" w:type="dxa"/>
              <w:start w:w="120" w:type="dxa"/>
              <w:bottom w:w="90" w:type="dxa"/>
              <w:end w:w="120" w:type="dxa"/>
            </w:tcMar>
            <w:shd w:fill="F3F6FA"/>
          </w:tcPr>
          <w:p>
            <w:pPr>
              <w:spacing w:before="0" w:after="0" w:line="240" w:lineRule="auto"/>
            </w:pPr>
            <w:r>
              <w:rPr>
                <w:rFonts w:ascii="Calibri" w:hAnsi="Calibri"/>
                <w:b/>
                <w:i w:val="0"/>
                <w:color w:val="576779"/>
                <w:sz w:val="20"/>
              </w:rPr>
              <w:t>Route</w:t>
            </w:r>
          </w:p>
        </w:tc>
        <w:tc>
          <w:tcPr>
            <w:tcW w:type="dxa" w:w="2232"/>
            <w:tcMar>
              <w:top w:w="90" w:type="dxa"/>
              <w:start w:w="120" w:type="dxa"/>
              <w:bottom w:w="90" w:type="dxa"/>
              <w:end w:w="120" w:type="dxa"/>
            </w:tcMar>
            <w:shd w:fill="F3F6FA"/>
          </w:tcPr>
          <w:p>
            <w:pPr>
              <w:spacing w:before="0" w:after="0" w:line="240" w:lineRule="auto"/>
            </w:pPr>
            <w:r>
              <w:rPr>
                <w:rFonts w:ascii="Calibri" w:hAnsi="Calibri"/>
                <w:b/>
                <w:i w:val="0"/>
                <w:color w:val="576779"/>
                <w:sz w:val="20"/>
              </w:rPr>
              <w:t>Typical UI surface</w:t>
            </w:r>
          </w:p>
        </w:tc>
        <w:tc>
          <w:tcPr>
            <w:tcW w:type="dxa" w:w="4896"/>
            <w:tcMar>
              <w:top w:w="90" w:type="dxa"/>
              <w:start w:w="120" w:type="dxa"/>
              <w:bottom w:w="90" w:type="dxa"/>
              <w:end w:w="120" w:type="dxa"/>
            </w:tcMar>
            <w:shd w:fill="F3F6FA"/>
          </w:tcPr>
          <w:p>
            <w:pPr>
              <w:spacing w:before="0" w:after="0" w:line="240" w:lineRule="auto"/>
            </w:pPr>
            <w:r>
              <w:rPr>
                <w:rFonts w:ascii="Calibri" w:hAnsi="Calibri"/>
                <w:b/>
                <w:i w:val="0"/>
                <w:color w:val="576779"/>
                <w:sz w:val="20"/>
              </w:rPr>
              <w:t>Purpose</w:t>
            </w:r>
          </w:p>
        </w:tc>
      </w:tr>
      <w:tr>
        <w:tc>
          <w:tcPr>
            <w:tcW w:type="dxa" w:w="2232"/>
          </w:tcPr>
          <w:p>
            <w:pPr>
              <w:spacing w:before="0" w:after="0" w:line="240" w:lineRule="auto"/>
            </w:pPr>
            <w:r>
              <w:rPr>
                <w:rFonts w:ascii="Calibri" w:hAnsi="Calibri"/>
                <w:b w:val="0"/>
                <w:i w:val="0"/>
                <w:color w:val="112133"/>
                <w:sz w:val="20"/>
              </w:rPr>
              <w:t>RAG_AGENT</w:t>
            </w:r>
          </w:p>
        </w:tc>
        <w:tc>
          <w:tcPr>
            <w:tcW w:type="dxa" w:w="2232"/>
          </w:tcPr>
          <w:p>
            <w:pPr>
              <w:spacing w:before="0" w:after="0" w:line="240" w:lineRule="auto"/>
            </w:pPr>
            <w:r>
              <w:rPr>
                <w:rFonts w:ascii="Calibri" w:hAnsi="Calibri"/>
                <w:b w:val="0"/>
                <w:i w:val="0"/>
                <w:color w:val="112133"/>
                <w:sz w:val="20"/>
              </w:rPr>
              <w:t>General</w:t>
            </w:r>
          </w:p>
        </w:tc>
        <w:tc>
          <w:tcPr>
            <w:tcW w:type="dxa" w:w="4896"/>
          </w:tcPr>
          <w:p>
            <w:pPr>
              <w:spacing w:before="0" w:after="0" w:line="240" w:lineRule="auto"/>
            </w:pPr>
            <w:r>
              <w:rPr>
                <w:rFonts w:ascii="Calibri" w:hAnsi="Calibri"/>
                <w:b w:val="0"/>
                <w:i w:val="0"/>
                <w:color w:val="112133"/>
                <w:sz w:val="20"/>
              </w:rPr>
              <w:t>First-layer general health guidance, context gathering, warning-sign review, and next-step framing.</w:t>
            </w:r>
          </w:p>
        </w:tc>
      </w:tr>
      <w:tr>
        <w:tc>
          <w:tcPr>
            <w:tcW w:type="dxa" w:w="2232"/>
          </w:tcPr>
          <w:p>
            <w:pPr>
              <w:spacing w:before="0" w:after="0" w:line="240" w:lineRule="auto"/>
            </w:pPr>
            <w:r>
              <w:rPr>
                <w:rFonts w:ascii="Calibri" w:hAnsi="Calibri"/>
                <w:b w:val="0"/>
                <w:i w:val="0"/>
                <w:color w:val="112133"/>
                <w:sz w:val="20"/>
              </w:rPr>
              <w:t>SPECIALIST_DOCTOR_AGENT</w:t>
            </w:r>
          </w:p>
        </w:tc>
        <w:tc>
          <w:tcPr>
            <w:tcW w:type="dxa" w:w="2232"/>
          </w:tcPr>
          <w:p>
            <w:pPr>
              <w:spacing w:before="0" w:after="0" w:line="240" w:lineRule="auto"/>
            </w:pPr>
            <w:r>
              <w:rPr>
                <w:rFonts w:ascii="Calibri" w:hAnsi="Calibri"/>
                <w:b w:val="0"/>
                <w:i w:val="0"/>
                <w:color w:val="112133"/>
                <w:sz w:val="20"/>
              </w:rPr>
              <w:t>Specialist</w:t>
            </w:r>
          </w:p>
        </w:tc>
        <w:tc>
          <w:tcPr>
            <w:tcW w:type="dxa" w:w="4896"/>
          </w:tcPr>
          <w:p>
            <w:pPr>
              <w:spacing w:before="0" w:after="0" w:line="240" w:lineRule="auto"/>
            </w:pPr>
            <w:r>
              <w:rPr>
                <w:rFonts w:ascii="Calibri" w:hAnsi="Calibri"/>
                <w:b w:val="0"/>
                <w:i w:val="0"/>
                <w:color w:val="112133"/>
                <w:sz w:val="20"/>
              </w:rPr>
              <w:t>Disease-focused structured review with domain-specific expectations, precautions, and follow-up questions.</w:t>
            </w:r>
          </w:p>
        </w:tc>
      </w:tr>
      <w:tr>
        <w:tc>
          <w:tcPr>
            <w:tcW w:type="dxa" w:w="2232"/>
          </w:tcPr>
          <w:p>
            <w:pPr>
              <w:spacing w:before="0" w:after="0" w:line="240" w:lineRule="auto"/>
            </w:pPr>
            <w:r>
              <w:rPr>
                <w:rFonts w:ascii="Calibri" w:hAnsi="Calibri"/>
                <w:b w:val="0"/>
                <w:i w:val="0"/>
                <w:color w:val="112133"/>
                <w:sz w:val="20"/>
              </w:rPr>
              <w:t>VITALS_AGENT</w:t>
            </w:r>
          </w:p>
        </w:tc>
        <w:tc>
          <w:tcPr>
            <w:tcW w:type="dxa" w:w="2232"/>
          </w:tcPr>
          <w:p>
            <w:pPr>
              <w:spacing w:before="0" w:after="0" w:line="240" w:lineRule="auto"/>
            </w:pPr>
            <w:r>
              <w:rPr>
                <w:rFonts w:ascii="Calibri" w:hAnsi="Calibri"/>
                <w:b w:val="0"/>
                <w:i w:val="0"/>
                <w:color w:val="112133"/>
                <w:sz w:val="20"/>
              </w:rPr>
              <w:t>Vitals</w:t>
            </w:r>
          </w:p>
        </w:tc>
        <w:tc>
          <w:tcPr>
            <w:tcW w:type="dxa" w:w="4896"/>
          </w:tcPr>
          <w:p>
            <w:pPr>
              <w:spacing w:before="0" w:after="0" w:line="240" w:lineRule="auto"/>
            </w:pPr>
            <w:r>
              <w:rPr>
                <w:rFonts w:ascii="Calibri" w:hAnsi="Calibri"/>
                <w:b w:val="0"/>
                <w:i w:val="0"/>
                <w:color w:val="112133"/>
                <w:sz w:val="20"/>
              </w:rPr>
              <w:t>Interprets BP, glucose, pulse, temperature, BMI, and home-monitoring context.</w:t>
            </w:r>
          </w:p>
        </w:tc>
      </w:tr>
      <w:tr>
        <w:tc>
          <w:tcPr>
            <w:tcW w:type="dxa" w:w="2232"/>
          </w:tcPr>
          <w:p>
            <w:pPr>
              <w:spacing w:before="0" w:after="0" w:line="240" w:lineRule="auto"/>
            </w:pPr>
            <w:r>
              <w:rPr>
                <w:rFonts w:ascii="Calibri" w:hAnsi="Calibri"/>
                <w:b w:val="0"/>
                <w:i w:val="0"/>
                <w:color w:val="112133"/>
                <w:sz w:val="20"/>
              </w:rPr>
              <w:t>PHARMACY_AGENT</w:t>
            </w:r>
          </w:p>
        </w:tc>
        <w:tc>
          <w:tcPr>
            <w:tcW w:type="dxa" w:w="2232"/>
          </w:tcPr>
          <w:p>
            <w:pPr>
              <w:spacing w:before="0" w:after="0" w:line="240" w:lineRule="auto"/>
            </w:pPr>
            <w:r>
              <w:rPr>
                <w:rFonts w:ascii="Calibri" w:hAnsi="Calibri"/>
                <w:b w:val="0"/>
                <w:i w:val="0"/>
                <w:color w:val="112133"/>
                <w:sz w:val="20"/>
              </w:rPr>
              <w:t>Medicine</w:t>
            </w:r>
          </w:p>
        </w:tc>
        <w:tc>
          <w:tcPr>
            <w:tcW w:type="dxa" w:w="4896"/>
          </w:tcPr>
          <w:p>
            <w:pPr>
              <w:spacing w:before="0" w:after="0" w:line="240" w:lineRule="auto"/>
            </w:pPr>
            <w:r>
              <w:rPr>
                <w:rFonts w:ascii="Calibri" w:hAnsi="Calibri"/>
                <w:b w:val="0"/>
                <w:i w:val="0"/>
                <w:color w:val="112133"/>
                <w:sz w:val="20"/>
              </w:rPr>
              <w:t>Medication label review, missed-dose safety, interaction questions, side-effect triage, and storage guidance.</w:t>
            </w:r>
          </w:p>
        </w:tc>
      </w:tr>
      <w:tr>
        <w:tc>
          <w:tcPr>
            <w:tcW w:type="dxa" w:w="2232"/>
          </w:tcPr>
          <w:p>
            <w:pPr>
              <w:spacing w:before="0" w:after="0" w:line="240" w:lineRule="auto"/>
            </w:pPr>
            <w:r>
              <w:rPr>
                <w:rFonts w:ascii="Calibri" w:hAnsi="Calibri"/>
                <w:b w:val="0"/>
                <w:i w:val="0"/>
                <w:color w:val="112133"/>
                <w:sz w:val="20"/>
              </w:rPr>
              <w:t>LABS_AGENT</w:t>
            </w:r>
          </w:p>
        </w:tc>
        <w:tc>
          <w:tcPr>
            <w:tcW w:type="dxa" w:w="2232"/>
          </w:tcPr>
          <w:p>
            <w:pPr>
              <w:spacing w:before="0" w:after="0" w:line="240" w:lineRule="auto"/>
            </w:pPr>
            <w:r>
              <w:rPr>
                <w:rFonts w:ascii="Calibri" w:hAnsi="Calibri"/>
                <w:b w:val="0"/>
                <w:i w:val="0"/>
                <w:color w:val="112133"/>
                <w:sz w:val="20"/>
              </w:rPr>
              <w:t>Labs</w:t>
            </w:r>
          </w:p>
        </w:tc>
        <w:tc>
          <w:tcPr>
            <w:tcW w:type="dxa" w:w="4896"/>
          </w:tcPr>
          <w:p>
            <w:pPr>
              <w:spacing w:before="0" w:after="0" w:line="240" w:lineRule="auto"/>
            </w:pPr>
            <w:r>
              <w:rPr>
                <w:rFonts w:ascii="Calibri" w:hAnsi="Calibri"/>
                <w:b w:val="0"/>
                <w:i w:val="0"/>
                <w:color w:val="112133"/>
                <w:sz w:val="20"/>
              </w:rPr>
              <w:t>Explains pasted or uploaded lab text, extracts values, highlights abnormal items, and builds doctor questions.</w:t>
            </w:r>
          </w:p>
        </w:tc>
      </w:tr>
      <w:tr>
        <w:tc>
          <w:tcPr>
            <w:tcW w:type="dxa" w:w="2232"/>
          </w:tcPr>
          <w:p>
            <w:pPr>
              <w:spacing w:before="0" w:after="0" w:line="240" w:lineRule="auto"/>
            </w:pPr>
            <w:r>
              <w:rPr>
                <w:rFonts w:ascii="Calibri" w:hAnsi="Calibri"/>
                <w:b w:val="0"/>
                <w:i w:val="0"/>
                <w:color w:val="112133"/>
                <w:sz w:val="20"/>
              </w:rPr>
              <w:t>SCHEDULING_AGENT</w:t>
            </w:r>
          </w:p>
        </w:tc>
        <w:tc>
          <w:tcPr>
            <w:tcW w:type="dxa" w:w="2232"/>
          </w:tcPr>
          <w:p>
            <w:pPr>
              <w:spacing w:before="0" w:after="0" w:line="240" w:lineRule="auto"/>
            </w:pPr>
            <w:r>
              <w:rPr>
                <w:rFonts w:ascii="Calibri" w:hAnsi="Calibri"/>
                <w:b w:val="0"/>
                <w:i w:val="0"/>
                <w:color w:val="112133"/>
                <w:sz w:val="20"/>
              </w:rPr>
              <w:t>Visits</w:t>
            </w:r>
          </w:p>
        </w:tc>
        <w:tc>
          <w:tcPr>
            <w:tcW w:type="dxa" w:w="4896"/>
          </w:tcPr>
          <w:p>
            <w:pPr>
              <w:spacing w:before="0" w:after="0" w:line="240" w:lineRule="auto"/>
            </w:pPr>
            <w:r>
              <w:rPr>
                <w:rFonts w:ascii="Calibri" w:hAnsi="Calibri"/>
                <w:b w:val="0"/>
                <w:i w:val="0"/>
                <w:color w:val="112133"/>
                <w:sz w:val="20"/>
              </w:rPr>
              <w:t>Follow-up planning, appointment preparation, visit type inference, readiness gaps, and communication scripts.</w:t>
            </w:r>
          </w:p>
        </w:tc>
      </w:tr>
      <w:tr>
        <w:tc>
          <w:tcPr>
            <w:tcW w:type="dxa" w:w="2232"/>
          </w:tcPr>
          <w:p>
            <w:pPr>
              <w:spacing w:before="0" w:after="0" w:line="240" w:lineRule="auto"/>
            </w:pPr>
            <w:r>
              <w:rPr>
                <w:rFonts w:ascii="Calibri" w:hAnsi="Calibri"/>
                <w:b w:val="0"/>
                <w:i w:val="0"/>
                <w:color w:val="112133"/>
                <w:sz w:val="20"/>
              </w:rPr>
              <w:t>ALERT_AGENT</w:t>
            </w:r>
          </w:p>
        </w:tc>
        <w:tc>
          <w:tcPr>
            <w:tcW w:type="dxa" w:w="2232"/>
          </w:tcPr>
          <w:p>
            <w:pPr>
              <w:spacing w:before="0" w:after="0" w:line="240" w:lineRule="auto"/>
            </w:pPr>
            <w:r>
              <w:rPr>
                <w:rFonts w:ascii="Calibri" w:hAnsi="Calibri"/>
                <w:b w:val="0"/>
                <w:i w:val="0"/>
                <w:color w:val="112133"/>
                <w:sz w:val="20"/>
              </w:rPr>
              <w:t>Safety</w:t>
            </w:r>
          </w:p>
        </w:tc>
        <w:tc>
          <w:tcPr>
            <w:tcW w:type="dxa" w:w="4896"/>
          </w:tcPr>
          <w:p>
            <w:pPr>
              <w:spacing w:before="0" w:after="0" w:line="240" w:lineRule="auto"/>
            </w:pPr>
            <w:r>
              <w:rPr>
                <w:rFonts w:ascii="Calibri" w:hAnsi="Calibri"/>
                <w:b w:val="0"/>
                <w:i w:val="0"/>
                <w:color w:val="112133"/>
                <w:sz w:val="20"/>
              </w:rPr>
              <w:t>Urgent-signal handling, escalation wording, monitoring checklist, and handoff packet generation.</w:t>
            </w:r>
          </w:p>
        </w:tc>
      </w:tr>
      <w:tr>
        <w:tc>
          <w:tcPr>
            <w:tcW w:type="dxa" w:w="2232"/>
          </w:tcPr>
          <w:p>
            <w:pPr>
              <w:spacing w:before="0" w:after="0" w:line="240" w:lineRule="auto"/>
            </w:pPr>
            <w:r>
              <w:rPr>
                <w:rFonts w:ascii="Calibri" w:hAnsi="Calibri"/>
                <w:b w:val="0"/>
                <w:i w:val="0"/>
                <w:color w:val="112133"/>
                <w:sz w:val="20"/>
              </w:rPr>
              <w:t>WELLNESS_AGENT / LIFESTYLE_AGENT</w:t>
            </w:r>
          </w:p>
        </w:tc>
        <w:tc>
          <w:tcPr>
            <w:tcW w:type="dxa" w:w="2232"/>
          </w:tcPr>
          <w:p>
            <w:pPr>
              <w:spacing w:before="0" w:after="0" w:line="240" w:lineRule="auto"/>
            </w:pPr>
            <w:r>
              <w:rPr>
                <w:rFonts w:ascii="Calibri" w:hAnsi="Calibri"/>
                <w:b w:val="0"/>
                <w:i w:val="0"/>
                <w:color w:val="112133"/>
                <w:sz w:val="20"/>
              </w:rPr>
              <w:t>Wellness</w:t>
            </w:r>
          </w:p>
        </w:tc>
        <w:tc>
          <w:tcPr>
            <w:tcW w:type="dxa" w:w="4896"/>
          </w:tcPr>
          <w:p>
            <w:pPr>
              <w:spacing w:before="0" w:after="0" w:line="240" w:lineRule="auto"/>
            </w:pPr>
            <w:r>
              <w:rPr>
                <w:rFonts w:ascii="Calibri" w:hAnsi="Calibri"/>
                <w:b w:val="0"/>
                <w:i w:val="0"/>
                <w:color w:val="112133"/>
                <w:sz w:val="20"/>
              </w:rPr>
              <w:t>Routine-building, stress and sleep guidance, daily health habits, and supportive coaching within safety boundaries.</w:t>
            </w:r>
          </w:p>
        </w:tc>
      </w:tr>
      <w:tr>
        <w:tc>
          <w:tcPr>
            <w:tcW w:type="dxa" w:w="2232"/>
          </w:tcPr>
          <w:p>
            <w:pPr>
              <w:spacing w:before="0" w:after="0" w:line="240" w:lineRule="auto"/>
            </w:pPr>
            <w:r>
              <w:rPr>
                <w:rFonts w:ascii="Calibri" w:hAnsi="Calibri"/>
                <w:b w:val="0"/>
                <w:i w:val="0"/>
                <w:color w:val="112133"/>
                <w:sz w:val="20"/>
              </w:rPr>
              <w:t>RECORDS_AGENT</w:t>
            </w:r>
          </w:p>
        </w:tc>
        <w:tc>
          <w:tcPr>
            <w:tcW w:type="dxa" w:w="2232"/>
          </w:tcPr>
          <w:p>
            <w:pPr>
              <w:spacing w:before="0" w:after="0" w:line="240" w:lineRule="auto"/>
            </w:pPr>
            <w:r>
              <w:rPr>
                <w:rFonts w:ascii="Calibri" w:hAnsi="Calibri"/>
                <w:b w:val="0"/>
                <w:i w:val="0"/>
                <w:color w:val="112133"/>
                <w:sz w:val="20"/>
              </w:rPr>
              <w:t>Records</w:t>
            </w:r>
          </w:p>
        </w:tc>
        <w:tc>
          <w:tcPr>
            <w:tcW w:type="dxa" w:w="4896"/>
          </w:tcPr>
          <w:p>
            <w:pPr>
              <w:spacing w:before="0" w:after="0" w:line="240" w:lineRule="auto"/>
            </w:pPr>
            <w:r>
              <w:rPr>
                <w:rFonts w:ascii="Calibri" w:hAnsi="Calibri"/>
                <w:b w:val="0"/>
                <w:i w:val="0"/>
                <w:color w:val="112133"/>
                <w:sz w:val="20"/>
              </w:rPr>
              <w:t>Local record organization, summaries, doctor-ready packets, and timeline support.</w:t>
            </w:r>
          </w:p>
        </w:tc>
      </w:tr>
      <w:tr>
        <w:tc>
          <w:tcPr>
            <w:tcW w:type="dxa" w:w="2232"/>
          </w:tcPr>
          <w:p>
            <w:pPr>
              <w:spacing w:before="0" w:after="0" w:line="240" w:lineRule="auto"/>
            </w:pPr>
            <w:r>
              <w:rPr>
                <w:rFonts w:ascii="Calibri" w:hAnsi="Calibri"/>
                <w:b w:val="0"/>
                <w:i w:val="0"/>
                <w:color w:val="112133"/>
                <w:sz w:val="20"/>
              </w:rPr>
              <w:t>INSURANCE_AGENT</w:t>
            </w:r>
          </w:p>
        </w:tc>
        <w:tc>
          <w:tcPr>
            <w:tcW w:type="dxa" w:w="2232"/>
          </w:tcPr>
          <w:p>
            <w:pPr>
              <w:spacing w:before="0" w:after="0" w:line="240" w:lineRule="auto"/>
            </w:pPr>
            <w:r>
              <w:rPr>
                <w:rFonts w:ascii="Calibri" w:hAnsi="Calibri"/>
                <w:b w:val="0"/>
                <w:i w:val="0"/>
                <w:color w:val="112133"/>
                <w:sz w:val="20"/>
              </w:rPr>
              <w:t>Insurance</w:t>
            </w:r>
          </w:p>
        </w:tc>
        <w:tc>
          <w:tcPr>
            <w:tcW w:type="dxa" w:w="4896"/>
          </w:tcPr>
          <w:p>
            <w:pPr>
              <w:spacing w:before="0" w:after="0" w:line="240" w:lineRule="auto"/>
            </w:pPr>
            <w:r>
              <w:rPr>
                <w:rFonts w:ascii="Calibri" w:hAnsi="Calibri"/>
                <w:b w:val="0"/>
                <w:i w:val="0"/>
                <w:color w:val="112133"/>
                <w:sz w:val="20"/>
              </w:rPr>
              <w:t>Claim organization, document gaps, benefit questions, appeal preparation, and administrative support.</w:t>
            </w:r>
          </w:p>
        </w:tc>
      </w:tr>
      <w:tr>
        <w:tc>
          <w:tcPr>
            <w:tcW w:type="dxa" w:w="2232"/>
          </w:tcPr>
          <w:p>
            <w:pPr>
              <w:spacing w:before="0" w:after="0" w:line="240" w:lineRule="auto"/>
            </w:pPr>
            <w:r>
              <w:rPr>
                <w:rFonts w:ascii="Calibri" w:hAnsi="Calibri"/>
                <w:b w:val="0"/>
                <w:i w:val="0"/>
                <w:color w:val="112133"/>
                <w:sz w:val="20"/>
              </w:rPr>
              <w:t>CARE_TRANSITIONS_AGENT</w:t>
            </w:r>
          </w:p>
        </w:tc>
        <w:tc>
          <w:tcPr>
            <w:tcW w:type="dxa" w:w="2232"/>
          </w:tcPr>
          <w:p>
            <w:pPr>
              <w:spacing w:before="0" w:after="0" w:line="240" w:lineRule="auto"/>
            </w:pPr>
            <w:r>
              <w:rPr>
                <w:rFonts w:ascii="Calibri" w:hAnsi="Calibri"/>
                <w:b w:val="0"/>
                <w:i w:val="0"/>
                <w:color w:val="112133"/>
                <w:sz w:val="20"/>
              </w:rPr>
              <w:t>Transitions</w:t>
            </w:r>
          </w:p>
        </w:tc>
        <w:tc>
          <w:tcPr>
            <w:tcW w:type="dxa" w:w="4896"/>
          </w:tcPr>
          <w:p>
            <w:pPr>
              <w:spacing w:before="0" w:after="0" w:line="240" w:lineRule="auto"/>
            </w:pPr>
            <w:r>
              <w:rPr>
                <w:rFonts w:ascii="Calibri" w:hAnsi="Calibri"/>
                <w:b w:val="0"/>
                <w:i w:val="0"/>
                <w:color w:val="112133"/>
                <w:sz w:val="20"/>
              </w:rPr>
              <w:t>Discharge and follow-up workflow support.</w:t>
            </w:r>
          </w:p>
        </w:tc>
      </w:tr>
      <w:tr>
        <w:tc>
          <w:tcPr>
            <w:tcW w:type="dxa" w:w="2232"/>
          </w:tcPr>
          <w:p>
            <w:pPr>
              <w:spacing w:before="0" w:after="0" w:line="240" w:lineRule="auto"/>
            </w:pPr>
            <w:r>
              <w:rPr>
                <w:rFonts w:ascii="Calibri" w:hAnsi="Calibri"/>
                <w:b w:val="0"/>
                <w:i w:val="0"/>
                <w:color w:val="112133"/>
                <w:sz w:val="20"/>
              </w:rPr>
              <w:t>CLAIMS_OPS_AGENT / UTILIZATION_AGENT / GXP_QUALITY_AGENT / MEDTECH_COMPLIANCE_AGENT</w:t>
            </w:r>
          </w:p>
        </w:tc>
        <w:tc>
          <w:tcPr>
            <w:tcW w:type="dxa" w:w="2232"/>
          </w:tcPr>
          <w:p>
            <w:pPr>
              <w:spacing w:before="0" w:after="0" w:line="240" w:lineRule="auto"/>
            </w:pPr>
            <w:r>
              <w:rPr>
                <w:rFonts w:ascii="Calibri" w:hAnsi="Calibri"/>
                <w:b w:val="0"/>
                <w:i w:val="0"/>
                <w:color w:val="112133"/>
                <w:sz w:val="20"/>
              </w:rPr>
              <w:t>Operations / regulated workflows</w:t>
            </w:r>
          </w:p>
        </w:tc>
        <w:tc>
          <w:tcPr>
            <w:tcW w:type="dxa" w:w="4896"/>
          </w:tcPr>
          <w:p>
            <w:pPr>
              <w:spacing w:before="0" w:after="0" w:line="240" w:lineRule="auto"/>
            </w:pPr>
            <w:r>
              <w:rPr>
                <w:rFonts w:ascii="Calibri" w:hAnsi="Calibri"/>
                <w:b w:val="0"/>
                <w:i w:val="0"/>
                <w:color w:val="112133"/>
                <w:sz w:val="20"/>
              </w:rPr>
              <w:t>Administrative and regulated-domain drafting helpers for broader healthcare workflow use cases.</w:t>
            </w:r>
          </w:p>
        </w:tc>
      </w:tr>
    </w:tbl>
    <w:p/>
    <w:p>
      <w:pPr>
        <w:spacing w:before="320" w:after="160" w:line="264" w:lineRule="auto"/>
      </w:pPr>
      <w:r>
        <w:rPr>
          <w:rFonts w:ascii="Calibri" w:hAnsi="Calibri"/>
          <w:b/>
          <w:i w:val="0"/>
          <w:color w:val="2E74B5"/>
          <w:sz w:val="32"/>
        </w:rPr>
        <w:t>5. The Knowledge and RAG Layer</w:t>
      </w:r>
    </w:p>
    <w:p>
      <w:pPr>
        <w:spacing w:before="0" w:after="120" w:line="276" w:lineRule="auto"/>
      </w:pPr>
      <w:r>
        <w:rPr>
          <w:rFonts w:ascii="Calibri" w:hAnsi="Calibri"/>
          <w:b w:val="0"/>
          <w:i w:val="0"/>
          <w:color w:val="112133"/>
          <w:sz w:val="22"/>
        </w:rPr>
        <w:t>Care Nova AI has a real offline knowledge subsystem. It is not a separate vector database service; instead, the repository and index are stored as JSON files and searched by a local ranking engine.</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Repository file</w:t>
            </w:r>
          </w:p>
        </w:tc>
        <w:tc>
          <w:tcPr>
            <w:tcW w:type="dxa" w:w="6480"/>
          </w:tcPr>
          <w:p>
            <w:pPr>
              <w:spacing w:before="0" w:after="0" w:line="240" w:lineRule="auto"/>
            </w:pPr>
            <w:r>
              <w:rPr>
                <w:rFonts w:ascii="Calibri" w:hAnsi="Calibri"/>
                <w:b w:val="0"/>
                <w:i w:val="0"/>
                <w:color w:val="112133"/>
                <w:sz w:val="21"/>
              </w:rPr>
              <w:t>data/offline-clinical-repository.json</w:t>
            </w:r>
          </w:p>
        </w:tc>
      </w:tr>
      <w:tr>
        <w:tc>
          <w:tcPr>
            <w:tcW w:type="dxa" w:w="2880"/>
          </w:tcPr>
          <w:p>
            <w:pPr>
              <w:spacing w:before="0" w:after="0" w:line="240" w:lineRule="auto"/>
            </w:pPr>
            <w:r>
              <w:rPr>
                <w:rFonts w:ascii="Calibri" w:hAnsi="Calibri"/>
                <w:b w:val="0"/>
                <w:i w:val="0"/>
                <w:color w:val="112133"/>
                <w:sz w:val="21"/>
              </w:rPr>
              <w:t>Base seed file</w:t>
            </w:r>
          </w:p>
        </w:tc>
        <w:tc>
          <w:tcPr>
            <w:tcW w:type="dxa" w:w="6480"/>
          </w:tcPr>
          <w:p>
            <w:pPr>
              <w:spacing w:before="0" w:after="0" w:line="240" w:lineRule="auto"/>
            </w:pPr>
            <w:r>
              <w:rPr>
                <w:rFonts w:ascii="Calibri" w:hAnsi="Calibri"/>
                <w:b w:val="0"/>
                <w:i w:val="0"/>
                <w:color w:val="112133"/>
                <w:sz w:val="21"/>
              </w:rPr>
              <w:t>data/offline-medical-db.json</w:t>
            </w:r>
          </w:p>
        </w:tc>
      </w:tr>
      <w:tr>
        <w:tc>
          <w:tcPr>
            <w:tcW w:type="dxa" w:w="2880"/>
          </w:tcPr>
          <w:p>
            <w:pPr>
              <w:spacing w:before="0" w:after="0" w:line="240" w:lineRule="auto"/>
            </w:pPr>
            <w:r>
              <w:rPr>
                <w:rFonts w:ascii="Calibri" w:hAnsi="Calibri"/>
                <w:b w:val="0"/>
                <w:i w:val="0"/>
                <w:color w:val="112133"/>
                <w:sz w:val="21"/>
              </w:rPr>
              <w:t>Index file</w:t>
            </w:r>
          </w:p>
        </w:tc>
        <w:tc>
          <w:tcPr>
            <w:tcW w:type="dxa" w:w="6480"/>
          </w:tcPr>
          <w:p>
            <w:pPr>
              <w:spacing w:before="0" w:after="0" w:line="240" w:lineRule="auto"/>
            </w:pPr>
            <w:r>
              <w:rPr>
                <w:rFonts w:ascii="Calibri" w:hAnsi="Calibri"/>
                <w:b w:val="0"/>
                <w:i w:val="0"/>
                <w:color w:val="112133"/>
                <w:sz w:val="21"/>
              </w:rPr>
              <w:t>data/offline-knowledge-index.json</w:t>
            </w:r>
          </w:p>
        </w:tc>
      </w:tr>
      <w:tr>
        <w:tc>
          <w:tcPr>
            <w:tcW w:type="dxa" w:w="2880"/>
          </w:tcPr>
          <w:p>
            <w:pPr>
              <w:spacing w:before="0" w:after="0" w:line="240" w:lineRule="auto"/>
            </w:pPr>
            <w:r>
              <w:rPr>
                <w:rFonts w:ascii="Calibri" w:hAnsi="Calibri"/>
                <w:b w:val="0"/>
                <w:i w:val="0"/>
                <w:color w:val="112133"/>
                <w:sz w:val="21"/>
              </w:rPr>
              <w:t>Manifest file</w:t>
            </w:r>
          </w:p>
        </w:tc>
        <w:tc>
          <w:tcPr>
            <w:tcW w:type="dxa" w:w="6480"/>
          </w:tcPr>
          <w:p>
            <w:pPr>
              <w:spacing w:before="0" w:after="0" w:line="240" w:lineRule="auto"/>
            </w:pPr>
            <w:r>
              <w:rPr>
                <w:rFonts w:ascii="Calibri" w:hAnsi="Calibri"/>
                <w:b w:val="0"/>
                <w:i w:val="0"/>
                <w:color w:val="112133"/>
                <w:sz w:val="21"/>
              </w:rPr>
              <w:t>data/offline-repository-manifest.json</w:t>
            </w:r>
          </w:p>
        </w:tc>
      </w:tr>
      <w:tr>
        <w:tc>
          <w:tcPr>
            <w:tcW w:type="dxa" w:w="2880"/>
          </w:tcPr>
          <w:p>
            <w:pPr>
              <w:spacing w:before="0" w:after="0" w:line="240" w:lineRule="auto"/>
            </w:pPr>
            <w:r>
              <w:rPr>
                <w:rFonts w:ascii="Calibri" w:hAnsi="Calibri"/>
                <w:b w:val="0"/>
                <w:i w:val="0"/>
                <w:color w:val="112133"/>
                <w:sz w:val="21"/>
              </w:rPr>
              <w:t>Total retrieval records</w:t>
            </w:r>
          </w:p>
        </w:tc>
        <w:tc>
          <w:tcPr>
            <w:tcW w:type="dxa" w:w="6480"/>
          </w:tcPr>
          <w:p>
            <w:pPr>
              <w:spacing w:before="0" w:after="0" w:line="240" w:lineRule="auto"/>
            </w:pPr>
            <w:r>
              <w:rPr>
                <w:rFonts w:ascii="Calibri" w:hAnsi="Calibri"/>
                <w:b w:val="0"/>
                <w:i w:val="0"/>
                <w:color w:val="112133"/>
                <w:sz w:val="21"/>
              </w:rPr>
              <w:t>206</w:t>
            </w:r>
          </w:p>
        </w:tc>
      </w:tr>
      <w:tr>
        <w:tc>
          <w:tcPr>
            <w:tcW w:type="dxa" w:w="2880"/>
          </w:tcPr>
          <w:p>
            <w:pPr>
              <w:spacing w:before="0" w:after="0" w:line="240" w:lineRule="auto"/>
            </w:pPr>
            <w:r>
              <w:rPr>
                <w:rFonts w:ascii="Calibri" w:hAnsi="Calibri"/>
                <w:b w:val="0"/>
                <w:i w:val="0"/>
                <w:color w:val="112133"/>
                <w:sz w:val="21"/>
              </w:rPr>
              <w:t>Base seeded records</w:t>
            </w:r>
          </w:p>
        </w:tc>
        <w:tc>
          <w:tcPr>
            <w:tcW w:type="dxa" w:w="6480"/>
          </w:tcPr>
          <w:p>
            <w:pPr>
              <w:spacing w:before="0" w:after="0" w:line="240" w:lineRule="auto"/>
            </w:pPr>
            <w:r>
              <w:rPr>
                <w:rFonts w:ascii="Calibri" w:hAnsi="Calibri"/>
                <w:b w:val="0"/>
                <w:i w:val="0"/>
                <w:color w:val="112133"/>
                <w:sz w:val="21"/>
              </w:rPr>
              <w:t>92</w:t>
            </w:r>
          </w:p>
        </w:tc>
      </w:tr>
      <w:tr>
        <w:tc>
          <w:tcPr>
            <w:tcW w:type="dxa" w:w="2880"/>
          </w:tcPr>
          <w:p>
            <w:pPr>
              <w:spacing w:before="0" w:after="0" w:line="240" w:lineRule="auto"/>
            </w:pPr>
            <w:r>
              <w:rPr>
                <w:rFonts w:ascii="Calibri" w:hAnsi="Calibri"/>
                <w:b w:val="0"/>
                <w:i w:val="0"/>
                <w:color w:val="112133"/>
                <w:sz w:val="21"/>
              </w:rPr>
              <w:t>Repository-generated records</w:t>
            </w:r>
          </w:p>
        </w:tc>
        <w:tc>
          <w:tcPr>
            <w:tcW w:type="dxa" w:w="6480"/>
          </w:tcPr>
          <w:p>
            <w:pPr>
              <w:spacing w:before="0" w:after="0" w:line="240" w:lineRule="auto"/>
            </w:pPr>
            <w:r>
              <w:rPr>
                <w:rFonts w:ascii="Calibri" w:hAnsi="Calibri"/>
                <w:b w:val="0"/>
                <w:i w:val="0"/>
                <w:color w:val="112133"/>
                <w:sz w:val="21"/>
              </w:rPr>
              <w:t>62</w:t>
            </w:r>
          </w:p>
        </w:tc>
      </w:tr>
      <w:tr>
        <w:tc>
          <w:tcPr>
            <w:tcW w:type="dxa" w:w="2880"/>
          </w:tcPr>
          <w:p>
            <w:pPr>
              <w:spacing w:before="0" w:after="0" w:line="240" w:lineRule="auto"/>
            </w:pPr>
            <w:r>
              <w:rPr>
                <w:rFonts w:ascii="Calibri" w:hAnsi="Calibri"/>
                <w:b w:val="0"/>
                <w:i w:val="0"/>
                <w:color w:val="112133"/>
                <w:sz w:val="21"/>
              </w:rPr>
              <w:t>Source-pack records</w:t>
            </w:r>
          </w:p>
        </w:tc>
        <w:tc>
          <w:tcPr>
            <w:tcW w:type="dxa" w:w="6480"/>
          </w:tcPr>
          <w:p>
            <w:pPr>
              <w:spacing w:before="0" w:after="0" w:line="240" w:lineRule="auto"/>
            </w:pPr>
            <w:r>
              <w:rPr>
                <w:rFonts w:ascii="Calibri" w:hAnsi="Calibri"/>
                <w:b w:val="0"/>
                <w:i w:val="0"/>
                <w:color w:val="112133"/>
                <w:sz w:val="21"/>
              </w:rPr>
              <w:t>52</w:t>
            </w:r>
          </w:p>
        </w:tc>
      </w:tr>
      <w:tr>
        <w:tc>
          <w:tcPr>
            <w:tcW w:type="dxa" w:w="2880"/>
          </w:tcPr>
          <w:p>
            <w:pPr>
              <w:spacing w:before="0" w:after="0" w:line="240" w:lineRule="auto"/>
            </w:pPr>
            <w:r>
              <w:rPr>
                <w:rFonts w:ascii="Calibri" w:hAnsi="Calibri"/>
                <w:b w:val="0"/>
                <w:i w:val="0"/>
                <w:color w:val="112133"/>
                <w:sz w:val="21"/>
              </w:rPr>
              <w:t>Source pack count</w:t>
            </w:r>
          </w:p>
        </w:tc>
        <w:tc>
          <w:tcPr>
            <w:tcW w:type="dxa" w:w="6480"/>
          </w:tcPr>
          <w:p>
            <w:pPr>
              <w:spacing w:before="0" w:after="0" w:line="240" w:lineRule="auto"/>
            </w:pPr>
            <w:r>
              <w:rPr>
                <w:rFonts w:ascii="Calibri" w:hAnsi="Calibri"/>
                <w:b w:val="0"/>
                <w:i w:val="0"/>
                <w:color w:val="112133"/>
                <w:sz w:val="21"/>
              </w:rPr>
              <w:t>4</w:t>
            </w:r>
          </w:p>
        </w:tc>
      </w:tr>
      <w:tr>
        <w:tc>
          <w:tcPr>
            <w:tcW w:type="dxa" w:w="2880"/>
          </w:tcPr>
          <w:p>
            <w:pPr>
              <w:spacing w:before="0" w:after="0" w:line="240" w:lineRule="auto"/>
            </w:pPr>
            <w:r>
              <w:rPr>
                <w:rFonts w:ascii="Calibri" w:hAnsi="Calibri"/>
                <w:b w:val="0"/>
                <w:i w:val="0"/>
                <w:color w:val="112133"/>
                <w:sz w:val="21"/>
              </w:rPr>
              <w:t>Source family count</w:t>
            </w:r>
          </w:p>
        </w:tc>
        <w:tc>
          <w:tcPr>
            <w:tcW w:type="dxa" w:w="6480"/>
          </w:tcPr>
          <w:p>
            <w:pPr>
              <w:spacing w:before="0" w:after="0" w:line="240" w:lineRule="auto"/>
            </w:pPr>
            <w:r>
              <w:rPr>
                <w:rFonts w:ascii="Calibri" w:hAnsi="Calibri"/>
                <w:b w:val="0"/>
                <w:i w:val="0"/>
                <w:color w:val="112133"/>
                <w:sz w:val="21"/>
              </w:rPr>
              <w:t>5</w:t>
            </w:r>
          </w:p>
        </w:tc>
      </w:tr>
      <w:tr>
        <w:tc>
          <w:tcPr>
            <w:tcW w:type="dxa" w:w="2880"/>
          </w:tcPr>
          <w:p>
            <w:pPr>
              <w:spacing w:before="0" w:after="0" w:line="240" w:lineRule="auto"/>
            </w:pPr>
            <w:r>
              <w:rPr>
                <w:rFonts w:ascii="Calibri" w:hAnsi="Calibri"/>
                <w:b w:val="0"/>
                <w:i w:val="0"/>
                <w:color w:val="112133"/>
                <w:sz w:val="21"/>
              </w:rPr>
              <w:t>Indexed tokens</w:t>
            </w:r>
          </w:p>
        </w:tc>
        <w:tc>
          <w:tcPr>
            <w:tcW w:type="dxa" w:w="6480"/>
          </w:tcPr>
          <w:p>
            <w:pPr>
              <w:spacing w:before="0" w:after="0" w:line="240" w:lineRule="auto"/>
            </w:pPr>
            <w:r>
              <w:rPr>
                <w:rFonts w:ascii="Calibri" w:hAnsi="Calibri"/>
                <w:b w:val="0"/>
                <w:i w:val="0"/>
                <w:color w:val="112133"/>
                <w:sz w:val="21"/>
              </w:rPr>
              <w:t>480</w:t>
            </w:r>
          </w:p>
        </w:tc>
      </w:tr>
    </w:tbl>
    <w:p/>
    <w:p>
      <w:pPr>
        <w:spacing w:before="0" w:after="120" w:line="276" w:lineRule="auto"/>
      </w:pPr>
      <w:r>
        <w:rPr>
          <w:rFonts w:ascii="Calibri" w:hAnsi="Calibri"/>
          <w:b w:val="0"/>
          <w:i w:val="0"/>
          <w:color w:val="112133"/>
          <w:sz w:val="22"/>
        </w:rPr>
        <w:t>The offline repository is built by scripts/build-offline-repository.js. That build script normalizes base records, merges modular source packs, enriches each record, builds a lexical/vector-style index, and emits a manifest containing source governance, licensing notes, maintenance workflow, and distribution counts.</w:t>
      </w:r>
    </w:p>
    <w:p>
      <w:pPr>
        <w:pStyle w:val="ListBullet"/>
        <w:spacing w:before="0" w:after="80" w:line="276" w:lineRule="auto"/>
      </w:pPr>
      <w:r>
        <w:rPr>
          <w:rFonts w:ascii="Calibri" w:hAnsi="Calibri"/>
          <w:b w:val="0"/>
          <w:i w:val="0"/>
          <w:color w:val="112133"/>
          <w:sz w:val="22"/>
        </w:rPr>
        <w:t>rankLocalMedicalKnowledge() in src/localAiEngine.js is the heart of local retrieval.</w:t>
      </w:r>
    </w:p>
    <w:p>
      <w:pPr>
        <w:pStyle w:val="ListBullet"/>
        <w:spacing w:before="0" w:after="80" w:line="276" w:lineRule="auto"/>
      </w:pPr>
      <w:r>
        <w:rPr>
          <w:rFonts w:ascii="Calibri" w:hAnsi="Calibri"/>
          <w:b w:val="0"/>
          <w:i w:val="0"/>
          <w:color w:val="112133"/>
          <w:sz w:val="22"/>
        </w:rPr>
        <w:t>The ranker combines tokenization, synonym expansion, exact phrase hits, TF-IDF style vector similarity, medical entity alignment, clinical domain matching, numeric vital/lab signal matching, route-tag alignment, population context, and urgent-safety boosts.</w:t>
      </w:r>
    </w:p>
    <w:p>
      <w:pPr>
        <w:pStyle w:val="ListBullet"/>
        <w:spacing w:before="0" w:after="80" w:line="276" w:lineRule="auto"/>
      </w:pPr>
      <w:r>
        <w:rPr>
          <w:rFonts w:ascii="Calibri" w:hAnsi="Calibri"/>
          <w:b w:val="0"/>
          <w:i w:val="0"/>
          <w:color w:val="112133"/>
          <w:sz w:val="22"/>
        </w:rPr>
        <w:t>Each match receives a relevance score, matched terms, semantic families, route-tag hits, and an evidence grade such as strong, good, supporting, or weak.</w:t>
      </w:r>
    </w:p>
    <w:p>
      <w:pPr>
        <w:pStyle w:val="ListBullet"/>
        <w:spacing w:before="0" w:after="80" w:line="276" w:lineRule="auto"/>
      </w:pPr>
      <w:r>
        <w:rPr>
          <w:rFonts w:ascii="Calibri" w:hAnsi="Calibri"/>
          <w:b w:val="0"/>
          <w:i w:val="0"/>
          <w:color w:val="112133"/>
          <w:sz w:val="22"/>
        </w:rPr>
        <w:t>retrieveMedicalKnowledge() in src/healthEngine.js wraps that ranker with request-aware scopes, caching, and route-specific retrieval policies.</w:t>
      </w:r>
    </w:p>
    <w:p>
      <w:pPr>
        <w:pStyle w:val="ListBullet"/>
        <w:spacing w:before="0" w:after="80" w:line="276" w:lineRule="auto"/>
      </w:pPr>
      <w:r>
        <w:rPr>
          <w:rFonts w:ascii="Calibri" w:hAnsi="Calibri"/>
          <w:b w:val="0"/>
          <w:i w:val="0"/>
          <w:color w:val="112133"/>
          <w:sz w:val="22"/>
        </w:rPr>
        <w:t>External online knowledge, when enabled, is normalized and cached locally before reuse; it does not bypass local guardrails.</w:t>
      </w:r>
    </w:p>
    <w:p>
      <w:pPr>
        <w:spacing w:before="320" w:after="160" w:line="264" w:lineRule="auto"/>
      </w:pPr>
      <w:r>
        <w:rPr>
          <w:rFonts w:ascii="Calibri" w:hAnsi="Calibri"/>
          <w:b/>
          <w:i w:val="0"/>
          <w:color w:val="2E74B5"/>
          <w:sz w:val="32"/>
        </w:rPr>
        <w:t>6. Model Routing and LLM Participation</w:t>
      </w:r>
    </w:p>
    <w:p>
      <w:pPr>
        <w:spacing w:before="0" w:after="120" w:line="276" w:lineRule="auto"/>
      </w:pPr>
      <w:r>
        <w:rPr>
          <w:rFonts w:ascii="Calibri" w:hAnsi="Calibri"/>
          <w:b w:val="0"/>
          <w:i w:val="0"/>
          <w:color w:val="112133"/>
          <w:sz w:val="22"/>
        </w:rPr>
        <w:t>The project uses the word 'model' in several layers. The important distinction is that the deterministic local core always exists, while optional LLM runtimes refine or rewrite parts of the output when available.</w:t>
      </w:r>
    </w:p>
    <w:tbl>
      <w:tblPr>
        <w:tblStyle w:val="TableGrid"/>
        <w:tblW w:type="auto" w:w="0"/>
        <w:tblLayout w:type="fixed"/>
        <w:tblLook w:firstColumn="1" w:firstRow="1" w:lastColumn="0" w:lastRow="0" w:noHBand="0" w:noVBand="1" w:val="04A0"/>
      </w:tblPr>
      <w:tblGrid>
        <w:gridCol w:w="1800"/>
        <w:gridCol w:w="2880"/>
        <w:gridCol w:w="4680"/>
      </w:tblGrid>
      <w:tr>
        <w:trPr>
          <w:tblHeader w:val="true"/>
        </w:trPr>
        <w:tc>
          <w:tcPr>
            <w:tcW w:type="dxa" w:w="1800"/>
            <w:tcMar>
              <w:top w:w="90" w:type="dxa"/>
              <w:start w:w="120" w:type="dxa"/>
              <w:bottom w:w="90" w:type="dxa"/>
              <w:end w:w="120" w:type="dxa"/>
            </w:tcMar>
            <w:shd w:fill="F3F6FA"/>
          </w:tcPr>
          <w:p>
            <w:pPr>
              <w:spacing w:before="0" w:after="0" w:line="240" w:lineRule="auto"/>
            </w:pPr>
            <w:r>
              <w:rPr>
                <w:rFonts w:ascii="Calibri" w:hAnsi="Calibri"/>
                <w:b/>
                <w:i w:val="0"/>
                <w:color w:val="576779"/>
                <w:sz w:val="20"/>
              </w:rPr>
              <w:t>Layer</w:t>
            </w:r>
          </w:p>
        </w:tc>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0"/>
              </w:rPr>
              <w:t>Main file</w:t>
            </w:r>
          </w:p>
        </w:tc>
        <w:tc>
          <w:tcPr>
            <w:tcW w:type="dxa" w:w="4680"/>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it actually does</w:t>
            </w:r>
          </w:p>
        </w:tc>
      </w:tr>
      <w:tr>
        <w:tc>
          <w:tcPr>
            <w:tcW w:type="dxa" w:w="1800"/>
          </w:tcPr>
          <w:p>
            <w:pPr>
              <w:spacing w:before="0" w:after="0" w:line="240" w:lineRule="auto"/>
            </w:pPr>
            <w:r>
              <w:rPr>
                <w:rFonts w:ascii="Calibri" w:hAnsi="Calibri"/>
                <w:b w:val="0"/>
                <w:i w:val="0"/>
                <w:color w:val="112133"/>
                <w:sz w:val="20"/>
              </w:rPr>
              <w:t>Hybrid router</w:t>
            </w:r>
          </w:p>
        </w:tc>
        <w:tc>
          <w:tcPr>
            <w:tcW w:type="dxa" w:w="2880"/>
          </w:tcPr>
          <w:p>
            <w:pPr>
              <w:spacing w:before="0" w:after="0" w:line="240" w:lineRule="auto"/>
            </w:pPr>
            <w:r>
              <w:rPr>
                <w:rFonts w:ascii="Calibri" w:hAnsi="Calibri"/>
                <w:b w:val="0"/>
                <w:i w:val="0"/>
                <w:color w:val="112133"/>
                <w:sz w:val="20"/>
              </w:rPr>
              <w:t>src/hybridModelRouter.js</w:t>
            </w:r>
          </w:p>
        </w:tc>
        <w:tc>
          <w:tcPr>
            <w:tcW w:type="dxa" w:w="4680"/>
          </w:tcPr>
          <w:p>
            <w:pPr>
              <w:spacing w:before="0" w:after="0" w:line="240" w:lineRule="auto"/>
            </w:pPr>
            <w:r>
              <w:rPr>
                <w:rFonts w:ascii="Calibri" w:hAnsi="Calibri"/>
                <w:b w:val="0"/>
                <w:i w:val="0"/>
                <w:color w:val="112133"/>
                <w:sz w:val="20"/>
              </w:rPr>
              <w:t>Scores request complexity, safety context, policy, and connectivity to choose local, cloud, or hybrid processing.</w:t>
            </w:r>
          </w:p>
        </w:tc>
      </w:tr>
      <w:tr>
        <w:tc>
          <w:tcPr>
            <w:tcW w:type="dxa" w:w="1800"/>
          </w:tcPr>
          <w:p>
            <w:pPr>
              <w:spacing w:before="0" w:after="0" w:line="240" w:lineRule="auto"/>
            </w:pPr>
            <w:r>
              <w:rPr>
                <w:rFonts w:ascii="Calibri" w:hAnsi="Calibri"/>
                <w:b w:val="0"/>
                <w:i w:val="0"/>
                <w:color w:val="112133"/>
                <w:sz w:val="20"/>
              </w:rPr>
              <w:t>Local runtime probe</w:t>
            </w:r>
          </w:p>
        </w:tc>
        <w:tc>
          <w:tcPr>
            <w:tcW w:type="dxa" w:w="2880"/>
          </w:tcPr>
          <w:p>
            <w:pPr>
              <w:spacing w:before="0" w:after="0" w:line="240" w:lineRule="auto"/>
            </w:pPr>
            <w:r>
              <w:rPr>
                <w:rFonts w:ascii="Calibri" w:hAnsi="Calibri"/>
                <w:b w:val="0"/>
                <w:i w:val="0"/>
                <w:color w:val="112133"/>
                <w:sz w:val="20"/>
              </w:rPr>
              <w:t>src/openSourceLocalRuntime.js</w:t>
            </w:r>
          </w:p>
        </w:tc>
        <w:tc>
          <w:tcPr>
            <w:tcW w:type="dxa" w:w="4680"/>
          </w:tcPr>
          <w:p>
            <w:pPr>
              <w:spacing w:before="0" w:after="0" w:line="240" w:lineRule="auto"/>
            </w:pPr>
            <w:r>
              <w:rPr>
                <w:rFonts w:ascii="Calibri" w:hAnsi="Calibri"/>
                <w:b w:val="0"/>
                <w:i w:val="0"/>
                <w:color w:val="112133"/>
                <w:sz w:val="20"/>
              </w:rPr>
              <w:t>Detects and probes local OpenAI-compatible runtimes such as Ollama and LM Studio, checks reachable endpoints, and confirms model availability.</w:t>
            </w:r>
          </w:p>
        </w:tc>
      </w:tr>
      <w:tr>
        <w:tc>
          <w:tcPr>
            <w:tcW w:type="dxa" w:w="1800"/>
          </w:tcPr>
          <w:p>
            <w:pPr>
              <w:spacing w:before="0" w:after="0" w:line="240" w:lineRule="auto"/>
            </w:pPr>
            <w:r>
              <w:rPr>
                <w:rFonts w:ascii="Calibri" w:hAnsi="Calibri"/>
                <w:b w:val="0"/>
                <w:i w:val="0"/>
                <w:color w:val="112133"/>
                <w:sz w:val="20"/>
              </w:rPr>
              <w:t>Specialist assist</w:t>
            </w:r>
          </w:p>
        </w:tc>
        <w:tc>
          <w:tcPr>
            <w:tcW w:type="dxa" w:w="2880"/>
          </w:tcPr>
          <w:p>
            <w:pPr>
              <w:spacing w:before="0" w:after="0" w:line="240" w:lineRule="auto"/>
            </w:pPr>
            <w:r>
              <w:rPr>
                <w:rFonts w:ascii="Calibri" w:hAnsi="Calibri"/>
                <w:b w:val="0"/>
                <w:i w:val="0"/>
                <w:color w:val="112133"/>
                <w:sz w:val="20"/>
              </w:rPr>
              <w:t>src/specialistLlmGateway.js</w:t>
            </w:r>
          </w:p>
        </w:tc>
        <w:tc>
          <w:tcPr>
            <w:tcW w:type="dxa" w:w="4680"/>
          </w:tcPr>
          <w:p>
            <w:pPr>
              <w:spacing w:before="0" w:after="0" w:line="240" w:lineRule="auto"/>
            </w:pPr>
            <w:r>
              <w:rPr>
                <w:rFonts w:ascii="Calibri" w:hAnsi="Calibri"/>
                <w:b w:val="0"/>
                <w:i w:val="0"/>
                <w:color w:val="112133"/>
                <w:sz w:val="20"/>
              </w:rPr>
              <w:t>Optionally refines deterministic specialist agent outputs for up to a bounded set of routes.</w:t>
            </w:r>
          </w:p>
        </w:tc>
      </w:tr>
      <w:tr>
        <w:tc>
          <w:tcPr>
            <w:tcW w:type="dxa" w:w="1800"/>
          </w:tcPr>
          <w:p>
            <w:pPr>
              <w:spacing w:before="0" w:after="0" w:line="240" w:lineRule="auto"/>
            </w:pPr>
            <w:r>
              <w:rPr>
                <w:rFonts w:ascii="Calibri" w:hAnsi="Calibri"/>
                <w:b w:val="0"/>
                <w:i w:val="0"/>
                <w:color w:val="112133"/>
                <w:sz w:val="20"/>
              </w:rPr>
              <w:t>Local reasoning assist</w:t>
            </w:r>
          </w:p>
        </w:tc>
        <w:tc>
          <w:tcPr>
            <w:tcW w:type="dxa" w:w="2880"/>
          </w:tcPr>
          <w:p>
            <w:pPr>
              <w:spacing w:before="0" w:after="0" w:line="240" w:lineRule="auto"/>
            </w:pPr>
            <w:r>
              <w:rPr>
                <w:rFonts w:ascii="Calibri" w:hAnsi="Calibri"/>
                <w:b w:val="0"/>
                <w:i w:val="0"/>
                <w:color w:val="112133"/>
                <w:sz w:val="20"/>
              </w:rPr>
              <w:t>src/localReasoningGateway.js</w:t>
            </w:r>
          </w:p>
        </w:tc>
        <w:tc>
          <w:tcPr>
            <w:tcW w:type="dxa" w:w="4680"/>
          </w:tcPr>
          <w:p>
            <w:pPr>
              <w:spacing w:before="0" w:after="0" w:line="240" w:lineRule="auto"/>
            </w:pPr>
            <w:r>
              <w:rPr>
                <w:rFonts w:ascii="Calibri" w:hAnsi="Calibri"/>
                <w:b w:val="0"/>
                <w:i w:val="0"/>
                <w:color w:val="112133"/>
                <w:sz w:val="20"/>
              </w:rPr>
              <w:t>Runs a route-aware open-source local second pass after the main analysis and only applies changes if final guardrails still pass.</w:t>
            </w:r>
          </w:p>
        </w:tc>
      </w:tr>
      <w:tr>
        <w:tc>
          <w:tcPr>
            <w:tcW w:type="dxa" w:w="1800"/>
          </w:tcPr>
          <w:p>
            <w:pPr>
              <w:spacing w:before="0" w:after="0" w:line="240" w:lineRule="auto"/>
            </w:pPr>
            <w:r>
              <w:rPr>
                <w:rFonts w:ascii="Calibri" w:hAnsi="Calibri"/>
                <w:b w:val="0"/>
                <w:i w:val="0"/>
                <w:color w:val="112133"/>
                <w:sz w:val="20"/>
              </w:rPr>
              <w:t>Cloud rewrite assist</w:t>
            </w:r>
          </w:p>
        </w:tc>
        <w:tc>
          <w:tcPr>
            <w:tcW w:type="dxa" w:w="2880"/>
          </w:tcPr>
          <w:p>
            <w:pPr>
              <w:spacing w:before="0" w:after="0" w:line="240" w:lineRule="auto"/>
            </w:pPr>
            <w:r>
              <w:rPr>
                <w:rFonts w:ascii="Calibri" w:hAnsi="Calibri"/>
                <w:b w:val="0"/>
                <w:i w:val="0"/>
                <w:color w:val="112133"/>
                <w:sz w:val="20"/>
              </w:rPr>
              <w:t>src/cloudLlmGateway.js</w:t>
            </w:r>
          </w:p>
        </w:tc>
        <w:tc>
          <w:tcPr>
            <w:tcW w:type="dxa" w:w="4680"/>
          </w:tcPr>
          <w:p>
            <w:pPr>
              <w:spacing w:before="0" w:after="0" w:line="240" w:lineRule="auto"/>
            </w:pPr>
            <w:r>
              <w:rPr>
                <w:rFonts w:ascii="Calibri" w:hAnsi="Calibri"/>
                <w:b w:val="0"/>
                <w:i w:val="0"/>
                <w:color w:val="112133"/>
                <w:sz w:val="20"/>
              </w:rPr>
              <w:t>Provides an opt-in cloud rewrite or route-aware second pass when environment flags explicitly allow paid/cloud usage.</w:t>
            </w:r>
          </w:p>
        </w:tc>
      </w:tr>
    </w:tbl>
    <w:p/>
    <w:p>
      <w:pPr>
        <w:spacing w:before="0" w:after="120" w:line="276" w:lineRule="auto"/>
      </w:pPr>
      <w:r>
        <w:rPr>
          <w:rFonts w:ascii="Calibri" w:hAnsi="Calibri"/>
          <w:b w:val="0"/>
          <w:i w:val="0"/>
          <w:color w:val="112133"/>
          <w:sz w:val="22"/>
        </w:rPr>
        <w:t>The default environment file shows that the project is designed to prefer local models and the lowest-cost route. The currently declared local open-source families are: deepseek-r1, llama-3, mistral, gemma, qwen.</w:t>
      </w:r>
    </w:p>
    <w:p>
      <w:pPr>
        <w:pStyle w:val="ListBullet"/>
        <w:spacing w:before="0" w:after="80" w:line="276" w:lineRule="auto"/>
      </w:pPr>
      <w:r>
        <w:rPr>
          <w:rFonts w:ascii="Calibri" w:hAnsi="Calibri"/>
          <w:b w:val="0"/>
          <w:i w:val="0"/>
          <w:color w:val="112133"/>
          <w:sz w:val="22"/>
        </w:rPr>
        <w:t>The hybrid router can assemble an open-source participation plan with a primary reasoner, verifier, and responder when more than one local model is available.</w:t>
      </w:r>
    </w:p>
    <w:p>
      <w:pPr>
        <w:pStyle w:val="ListBullet"/>
        <w:spacing w:before="0" w:after="80" w:line="276" w:lineRule="auto"/>
      </w:pPr>
      <w:r>
        <w:rPr>
          <w:rFonts w:ascii="Calibri" w:hAnsi="Calibri"/>
          <w:b w:val="0"/>
          <w:i w:val="0"/>
          <w:color w:val="112133"/>
          <w:sz w:val="22"/>
        </w:rPr>
        <w:t>If cloud access is disabled or unavailable, the router falls back to the best local model and then to the deterministic Care Nova core.</w:t>
      </w:r>
    </w:p>
    <w:p>
      <w:pPr>
        <w:pStyle w:val="ListBullet"/>
        <w:spacing w:before="0" w:after="80" w:line="276" w:lineRule="auto"/>
      </w:pPr>
      <w:r>
        <w:rPr>
          <w:rFonts w:ascii="Calibri" w:hAnsi="Calibri"/>
          <w:b w:val="0"/>
          <w:i w:val="0"/>
          <w:color w:val="112133"/>
          <w:sz w:val="22"/>
        </w:rPr>
        <w:t>The local reasoning assist and specialist LLM assist are enhancement paths; they do not replace the baseline deterministic health engine.</w:t>
      </w:r>
    </w:p>
    <w:p>
      <w:pPr>
        <w:pStyle w:val="ListBullet"/>
        <w:spacing w:before="0" w:after="80" w:line="276" w:lineRule="auto"/>
      </w:pPr>
      <w:r>
        <w:rPr>
          <w:rFonts w:ascii="Calibri" w:hAnsi="Calibri"/>
          <w:b w:val="0"/>
          <w:i w:val="0"/>
          <w:color w:val="112133"/>
          <w:sz w:val="22"/>
        </w:rPr>
        <w:t>Because all LLM assists are wrapped around guardrails and route boundaries, the project tries to preserve safety even when a model is configured.</w:t>
      </w:r>
    </w:p>
    <w:p>
      <w:pPr>
        <w:spacing w:before="320" w:after="160" w:line="264" w:lineRule="auto"/>
      </w:pPr>
      <w:r>
        <w:rPr>
          <w:rFonts w:ascii="Calibri" w:hAnsi="Calibri"/>
          <w:b/>
          <w:i w:val="0"/>
          <w:color w:val="2E74B5"/>
          <w:sz w:val="32"/>
        </w:rPr>
        <w:t>7. What Machine Learning Exists Today</w:t>
      </w:r>
    </w:p>
    <w:p>
      <w:pPr>
        <w:spacing w:before="0" w:after="120" w:line="276" w:lineRule="auto"/>
      </w:pPr>
      <w:r>
        <w:rPr>
          <w:rFonts w:ascii="Calibri" w:hAnsi="Calibri"/>
          <w:b w:val="0"/>
          <w:i w:val="0"/>
          <w:color w:val="112133"/>
          <w:sz w:val="22"/>
        </w:rPr>
        <w:t>The repository includes a training engine, but it is important to describe it precisely. The current implementation is a lightweight calibration system, not a full local medical foundation-model training stack.</w:t>
      </w:r>
    </w:p>
    <w:p>
      <w:pPr>
        <w:pStyle w:val="ListBullet"/>
        <w:spacing w:before="0" w:after="80" w:line="276" w:lineRule="auto"/>
      </w:pPr>
      <w:r>
        <w:rPr>
          <w:rFonts w:ascii="Calibri" w:hAnsi="Calibri"/>
          <w:b w:val="0"/>
          <w:i w:val="0"/>
          <w:color w:val="112133"/>
          <w:sz w:val="22"/>
        </w:rPr>
        <w:t>src/trainingEngine.js stores approved examples in a local JSON training file and builds route priors, keyword-route weights, route reliability scores, and a confusion matrix.</w:t>
      </w:r>
    </w:p>
    <w:p>
      <w:pPr>
        <w:pStyle w:val="ListBullet"/>
        <w:spacing w:before="0" w:after="80" w:line="276" w:lineRule="auto"/>
      </w:pPr>
      <w:r>
        <w:rPr>
          <w:rFonts w:ascii="Calibri" w:hAnsi="Calibri"/>
          <w:b w:val="0"/>
          <w:i w:val="0"/>
          <w:color w:val="112133"/>
          <w:sz w:val="22"/>
        </w:rPr>
        <w:t>The training metadata explicitly reports noPhiTraining: true and medicalFactTraining: false. That means patient examples are intended for routing and calibration, not for learning new medical facts.</w:t>
      </w:r>
    </w:p>
    <w:p>
      <w:pPr>
        <w:pStyle w:val="ListBullet"/>
        <w:spacing w:before="0" w:after="80" w:line="276" w:lineRule="auto"/>
      </w:pPr>
      <w:r>
        <w:rPr>
          <w:rFonts w:ascii="Calibri" w:hAnsi="Calibri"/>
          <w:b w:val="0"/>
          <w:i w:val="0"/>
          <w:color w:val="112133"/>
          <w:sz w:val="22"/>
        </w:rPr>
        <w:t>The calibration model improves route fit and reliability scoring; it does not turn the app into a self-updating clinical knowledge source.</w:t>
      </w:r>
    </w:p>
    <w:p>
      <w:pPr>
        <w:pStyle w:val="ListBullet"/>
        <w:spacing w:before="0" w:after="80" w:line="276" w:lineRule="auto"/>
      </w:pPr>
      <w:r>
        <w:rPr>
          <w:rFonts w:ascii="Calibri" w:hAnsi="Calibri"/>
          <w:b w:val="0"/>
          <w:i w:val="0"/>
          <w:color w:val="112133"/>
          <w:sz w:val="22"/>
        </w:rPr>
        <w:t>The retrieval layer itself behaves like a compact local ML ranker through weighted scoring and TF-IDF style vectors, but it is still deterministic and repository-bounded.</w:t>
      </w:r>
    </w:p>
    <w:tbl>
      <w:tblPr>
        <w:tblStyle w:val="TableGrid"/>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3F6FA"/>
          </w:tcPr>
          <w:p>
            <w:pPr>
              <w:spacing w:before="0" w:after="0" w:line="264" w:lineRule="auto"/>
            </w:pPr>
            <w:r>
              <w:rPr>
                <w:rFonts w:ascii="Calibri" w:hAnsi="Calibri"/>
                <w:b/>
                <w:i w:val="0"/>
                <w:color w:val="1F4D78"/>
                <w:sz w:val="21"/>
              </w:rPr>
              <w:t xml:space="preserve">Accuracy note: </w:t>
            </w:r>
            <w:r>
              <w:rPr>
                <w:rFonts w:ascii="Calibri" w:hAnsi="Calibri"/>
                <w:b w:val="0"/>
                <w:i w:val="0"/>
                <w:color w:val="112133"/>
                <w:sz w:val="21"/>
              </w:rPr>
              <w:t>The strongest accuracy path in this codebase comes from the combination of route control, risk gates, offline knowledge retrieval, and structured persistence. The optional LLM layers improve phrasing or specialist refinement, but they are not the only source of correctness.</w:t>
            </w:r>
          </w:p>
        </w:tc>
      </w:tr>
    </w:tbl>
    <w:p/>
    <w:p>
      <w:pPr>
        <w:spacing w:before="320" w:after="160" w:line="264" w:lineRule="auto"/>
      </w:pPr>
      <w:r>
        <w:rPr>
          <w:rFonts w:ascii="Calibri" w:hAnsi="Calibri"/>
          <w:b/>
          <w:i w:val="0"/>
          <w:color w:val="2E74B5"/>
          <w:sz w:val="32"/>
        </w:rPr>
        <w:t>8. Persistence, Privacy, and Local Data</w:t>
      </w:r>
    </w:p>
    <w:p>
      <w:pPr>
        <w:spacing w:before="0" w:after="120" w:line="276" w:lineRule="auto"/>
      </w:pPr>
      <w:r>
        <w:rPr>
          <w:rFonts w:ascii="Calibri" w:hAnsi="Calibri"/>
          <w:b w:val="0"/>
          <w:i w:val="0"/>
          <w:color w:val="112133"/>
          <w:sz w:val="22"/>
        </w:rPr>
        <w:t>Patient context is stored on the local machine rather than in a remote database by default. The project separates several types of data so that the next interaction can reuse context without collapsing everything into one flat file.</w:t>
      </w:r>
    </w:p>
    <w:tbl>
      <w:tblPr>
        <w:tblStyle w:val="TableGrid"/>
        <w:tblW w:type="auto" w:w="0"/>
        <w:tblLayout w:type="fixed"/>
        <w:tblLook w:firstColumn="1" w:firstRow="1" w:lastColumn="0" w:lastRow="0" w:noHBand="0" w:noVBand="1" w:val="04A0"/>
      </w:tblPr>
      <w:tblGrid>
        <w:gridCol w:w="1728"/>
        <w:gridCol w:w="3384"/>
        <w:gridCol w:w="4248"/>
      </w:tblGrid>
      <w:tr>
        <w:trPr>
          <w:tblHeader w:val="true"/>
        </w:trPr>
        <w:tc>
          <w:tcPr>
            <w:tcW w:type="dxa" w:w="1728"/>
            <w:tcMar>
              <w:top w:w="90" w:type="dxa"/>
              <w:start w:w="120" w:type="dxa"/>
              <w:bottom w:w="90" w:type="dxa"/>
              <w:end w:w="120" w:type="dxa"/>
            </w:tcMar>
            <w:shd w:fill="F3F6FA"/>
          </w:tcPr>
          <w:p>
            <w:pPr>
              <w:spacing w:before="0" w:after="0" w:line="240" w:lineRule="auto"/>
            </w:pPr>
            <w:r>
              <w:rPr>
                <w:rFonts w:ascii="Calibri" w:hAnsi="Calibri"/>
                <w:b/>
                <w:i w:val="0"/>
                <w:color w:val="576779"/>
                <w:sz w:val="20"/>
              </w:rPr>
              <w:t>Store</w:t>
            </w:r>
          </w:p>
        </w:tc>
        <w:tc>
          <w:tcPr>
            <w:tcW w:type="dxa" w:w="3384"/>
            <w:tcMar>
              <w:top w:w="90" w:type="dxa"/>
              <w:start w:w="120" w:type="dxa"/>
              <w:bottom w:w="90" w:type="dxa"/>
              <w:end w:w="120" w:type="dxa"/>
            </w:tcMar>
            <w:shd w:fill="F3F6FA"/>
          </w:tcPr>
          <w:p>
            <w:pPr>
              <w:spacing w:before="0" w:after="0" w:line="240" w:lineRule="auto"/>
            </w:pPr>
            <w:r>
              <w:rPr>
                <w:rFonts w:ascii="Calibri" w:hAnsi="Calibri"/>
                <w:b/>
                <w:i w:val="0"/>
                <w:color w:val="576779"/>
                <w:sz w:val="20"/>
              </w:rPr>
              <w:t>Path</w:t>
            </w:r>
          </w:p>
        </w:tc>
        <w:tc>
          <w:tcPr>
            <w:tcW w:type="dxa" w:w="4248"/>
            <w:tcMar>
              <w:top w:w="90" w:type="dxa"/>
              <w:start w:w="120" w:type="dxa"/>
              <w:bottom w:w="90" w:type="dxa"/>
              <w:end w:w="120" w:type="dxa"/>
            </w:tcMar>
            <w:shd w:fill="F3F6FA"/>
          </w:tcPr>
          <w:p>
            <w:pPr>
              <w:spacing w:before="0" w:after="0" w:line="240" w:lineRule="auto"/>
            </w:pPr>
            <w:r>
              <w:rPr>
                <w:rFonts w:ascii="Calibri" w:hAnsi="Calibri"/>
                <w:b/>
                <w:i w:val="0"/>
                <w:color w:val="576779"/>
                <w:sz w:val="20"/>
              </w:rPr>
              <w:t>Role</w:t>
            </w:r>
          </w:p>
        </w:tc>
      </w:tr>
      <w:tr>
        <w:tc>
          <w:tcPr>
            <w:tcW w:type="dxa" w:w="1728"/>
          </w:tcPr>
          <w:p>
            <w:pPr>
              <w:spacing w:before="0" w:after="0" w:line="240" w:lineRule="auto"/>
            </w:pPr>
            <w:r>
              <w:rPr>
                <w:rFonts w:ascii="Calibri" w:hAnsi="Calibri"/>
                <w:b w:val="0"/>
                <w:i w:val="0"/>
                <w:color w:val="112133"/>
                <w:sz w:val="20"/>
              </w:rPr>
              <w:t>Memory store</w:t>
            </w:r>
          </w:p>
        </w:tc>
        <w:tc>
          <w:tcPr>
            <w:tcW w:type="dxa" w:w="3384"/>
          </w:tcPr>
          <w:p>
            <w:pPr>
              <w:spacing w:before="0" w:after="0" w:line="240" w:lineRule="auto"/>
            </w:pPr>
            <w:r>
              <w:rPr>
                <w:rFonts w:ascii="Calibri" w:hAnsi="Calibri"/>
                <w:b w:val="0"/>
                <w:i w:val="0"/>
                <w:color w:val="112133"/>
                <w:sz w:val="20"/>
              </w:rPr>
              <w:t>data/memory/patient-memory.json</w:t>
            </w:r>
          </w:p>
        </w:tc>
        <w:tc>
          <w:tcPr>
            <w:tcW w:type="dxa" w:w="4248"/>
          </w:tcPr>
          <w:p>
            <w:pPr>
              <w:spacing w:before="0" w:after="0" w:line="240" w:lineRule="auto"/>
            </w:pPr>
            <w:r>
              <w:rPr>
                <w:rFonts w:ascii="Calibri" w:hAnsi="Calibri"/>
                <w:b w:val="0"/>
                <w:i w:val="0"/>
                <w:color w:val="112133"/>
                <w:sz w:val="20"/>
              </w:rPr>
              <w:t>Conversation history and memory patches. Capped history is merged and persisted per patient.</w:t>
            </w:r>
          </w:p>
        </w:tc>
      </w:tr>
      <w:tr>
        <w:tc>
          <w:tcPr>
            <w:tcW w:type="dxa" w:w="1728"/>
          </w:tcPr>
          <w:p>
            <w:pPr>
              <w:spacing w:before="0" w:after="0" w:line="240" w:lineRule="auto"/>
            </w:pPr>
            <w:r>
              <w:rPr>
                <w:rFonts w:ascii="Calibri" w:hAnsi="Calibri"/>
                <w:b w:val="0"/>
                <w:i w:val="0"/>
                <w:color w:val="112133"/>
                <w:sz w:val="20"/>
              </w:rPr>
              <w:t>Record store</w:t>
            </w:r>
          </w:p>
        </w:tc>
        <w:tc>
          <w:tcPr>
            <w:tcW w:type="dxa" w:w="3384"/>
          </w:tcPr>
          <w:p>
            <w:pPr>
              <w:spacing w:before="0" w:after="0" w:line="240" w:lineRule="auto"/>
            </w:pPr>
            <w:r>
              <w:rPr>
                <w:rFonts w:ascii="Calibri" w:hAnsi="Calibri"/>
                <w:b w:val="0"/>
                <w:i w:val="0"/>
                <w:color w:val="112133"/>
                <w:sz w:val="20"/>
              </w:rPr>
              <w:t>data/records/patient-records.json</w:t>
            </w:r>
          </w:p>
        </w:tc>
        <w:tc>
          <w:tcPr>
            <w:tcW w:type="dxa" w:w="4248"/>
          </w:tcPr>
          <w:p>
            <w:pPr>
              <w:spacing w:before="0" w:after="0" w:line="240" w:lineRule="auto"/>
            </w:pPr>
            <w:r>
              <w:rPr>
                <w:rFonts w:ascii="Calibri" w:hAnsi="Calibri"/>
                <w:b w:val="0"/>
                <w:i w:val="0"/>
                <w:color w:val="112133"/>
                <w:sz w:val="20"/>
              </w:rPr>
              <w:t>Patient records, summaries, and selected record metadata.</w:t>
            </w:r>
          </w:p>
        </w:tc>
      </w:tr>
      <w:tr>
        <w:tc>
          <w:tcPr>
            <w:tcW w:type="dxa" w:w="1728"/>
          </w:tcPr>
          <w:p>
            <w:pPr>
              <w:spacing w:before="0" w:after="0" w:line="240" w:lineRule="auto"/>
            </w:pPr>
            <w:r>
              <w:rPr>
                <w:rFonts w:ascii="Calibri" w:hAnsi="Calibri"/>
                <w:b w:val="0"/>
                <w:i w:val="0"/>
                <w:color w:val="112133"/>
                <w:sz w:val="20"/>
              </w:rPr>
              <w:t>Knowledge graph</w:t>
            </w:r>
          </w:p>
        </w:tc>
        <w:tc>
          <w:tcPr>
            <w:tcW w:type="dxa" w:w="3384"/>
          </w:tcPr>
          <w:p>
            <w:pPr>
              <w:spacing w:before="0" w:after="0" w:line="240" w:lineRule="auto"/>
            </w:pPr>
            <w:r>
              <w:rPr>
                <w:rFonts w:ascii="Calibri" w:hAnsi="Calibri"/>
                <w:b w:val="0"/>
                <w:i w:val="0"/>
                <w:color w:val="112133"/>
                <w:sz w:val="20"/>
              </w:rPr>
              <w:t>data/graph/patient-knowledge-graph.json and data/graph/patients/</w:t>
            </w:r>
          </w:p>
        </w:tc>
        <w:tc>
          <w:tcPr>
            <w:tcW w:type="dxa" w:w="4248"/>
          </w:tcPr>
          <w:p>
            <w:pPr>
              <w:spacing w:before="0" w:after="0" w:line="240" w:lineRule="auto"/>
            </w:pPr>
            <w:r>
              <w:rPr>
                <w:rFonts w:ascii="Calibri" w:hAnsi="Calibri"/>
                <w:b w:val="0"/>
                <w:i w:val="0"/>
                <w:color w:val="112133"/>
                <w:sz w:val="20"/>
              </w:rPr>
              <w:t>Structured graph facts, nodes, edges, sharded patient storage, and bundled graph support.</w:t>
            </w:r>
          </w:p>
        </w:tc>
      </w:tr>
      <w:tr>
        <w:tc>
          <w:tcPr>
            <w:tcW w:type="dxa" w:w="1728"/>
          </w:tcPr>
          <w:p>
            <w:pPr>
              <w:spacing w:before="0" w:after="0" w:line="240" w:lineRule="auto"/>
            </w:pPr>
            <w:r>
              <w:rPr>
                <w:rFonts w:ascii="Calibri" w:hAnsi="Calibri"/>
                <w:b w:val="0"/>
                <w:i w:val="0"/>
                <w:color w:val="112133"/>
                <w:sz w:val="20"/>
              </w:rPr>
              <w:t>Training state</w:t>
            </w:r>
          </w:p>
        </w:tc>
        <w:tc>
          <w:tcPr>
            <w:tcW w:type="dxa" w:w="3384"/>
          </w:tcPr>
          <w:p>
            <w:pPr>
              <w:spacing w:before="0" w:after="0" w:line="240" w:lineRule="auto"/>
            </w:pPr>
            <w:r>
              <w:rPr>
                <w:rFonts w:ascii="Calibri" w:hAnsi="Calibri"/>
                <w:b w:val="0"/>
                <w:i w:val="0"/>
                <w:color w:val="112133"/>
                <w:sz w:val="20"/>
              </w:rPr>
              <w:t>data/training/agent-training-state.json</w:t>
            </w:r>
          </w:p>
        </w:tc>
        <w:tc>
          <w:tcPr>
            <w:tcW w:type="dxa" w:w="4248"/>
          </w:tcPr>
          <w:p>
            <w:pPr>
              <w:spacing w:before="0" w:after="0" w:line="240" w:lineRule="auto"/>
            </w:pPr>
            <w:r>
              <w:rPr>
                <w:rFonts w:ascii="Calibri" w:hAnsi="Calibri"/>
                <w:b w:val="0"/>
                <w:i w:val="0"/>
                <w:color w:val="112133"/>
                <w:sz w:val="20"/>
              </w:rPr>
              <w:t>Approved examples and route-calibration data.</w:t>
            </w:r>
          </w:p>
        </w:tc>
      </w:tr>
      <w:tr>
        <w:tc>
          <w:tcPr>
            <w:tcW w:type="dxa" w:w="1728"/>
          </w:tcPr>
          <w:p>
            <w:pPr>
              <w:spacing w:before="0" w:after="0" w:line="240" w:lineRule="auto"/>
            </w:pPr>
            <w:r>
              <w:rPr>
                <w:rFonts w:ascii="Calibri" w:hAnsi="Calibri"/>
                <w:b w:val="0"/>
                <w:i w:val="0"/>
                <w:color w:val="112133"/>
                <w:sz w:val="20"/>
              </w:rPr>
              <w:t>External cache</w:t>
            </w:r>
          </w:p>
        </w:tc>
        <w:tc>
          <w:tcPr>
            <w:tcW w:type="dxa" w:w="3384"/>
          </w:tcPr>
          <w:p>
            <w:pPr>
              <w:spacing w:before="0" w:after="0" w:line="240" w:lineRule="auto"/>
            </w:pPr>
            <w:r>
              <w:rPr>
                <w:rFonts w:ascii="Calibri" w:hAnsi="Calibri"/>
                <w:b w:val="0"/>
                <w:i w:val="0"/>
                <w:color w:val="112133"/>
                <w:sz w:val="20"/>
              </w:rPr>
              <w:t>data/external/external-knowledge-cache.json</w:t>
            </w:r>
          </w:p>
        </w:tc>
        <w:tc>
          <w:tcPr>
            <w:tcW w:type="dxa" w:w="4248"/>
          </w:tcPr>
          <w:p>
            <w:pPr>
              <w:spacing w:before="0" w:after="0" w:line="240" w:lineRule="auto"/>
            </w:pPr>
            <w:r>
              <w:rPr>
                <w:rFonts w:ascii="Calibri" w:hAnsi="Calibri"/>
                <w:b w:val="0"/>
                <w:i w:val="0"/>
                <w:color w:val="112133"/>
                <w:sz w:val="20"/>
              </w:rPr>
              <w:t>Optional normalized online reference cache for later offline reuse.</w:t>
            </w:r>
          </w:p>
        </w:tc>
      </w:tr>
      <w:tr>
        <w:tc>
          <w:tcPr>
            <w:tcW w:type="dxa" w:w="1728"/>
          </w:tcPr>
          <w:p>
            <w:pPr>
              <w:spacing w:before="0" w:after="0" w:line="240" w:lineRule="auto"/>
            </w:pPr>
            <w:r>
              <w:rPr>
                <w:rFonts w:ascii="Calibri" w:hAnsi="Calibri"/>
                <w:b w:val="0"/>
                <w:i w:val="0"/>
                <w:color w:val="112133"/>
                <w:sz w:val="20"/>
              </w:rPr>
              <w:t>OneDrive mirror</w:t>
            </w:r>
          </w:p>
        </w:tc>
        <w:tc>
          <w:tcPr>
            <w:tcW w:type="dxa" w:w="3384"/>
          </w:tcPr>
          <w:p>
            <w:pPr>
              <w:spacing w:before="0" w:after="0" w:line="240" w:lineRule="auto"/>
            </w:pPr>
            <w:r>
              <w:rPr>
                <w:rFonts w:ascii="Calibri" w:hAnsi="Calibri"/>
                <w:b w:val="0"/>
                <w:i w:val="0"/>
                <w:color w:val="112133"/>
                <w:sz w:val="20"/>
              </w:rPr>
              <w:t>data/onedrive-mirror/</w:t>
            </w:r>
          </w:p>
        </w:tc>
        <w:tc>
          <w:tcPr>
            <w:tcW w:type="dxa" w:w="4248"/>
          </w:tcPr>
          <w:p>
            <w:pPr>
              <w:spacing w:before="0" w:after="0" w:line="240" w:lineRule="auto"/>
            </w:pPr>
            <w:r>
              <w:rPr>
                <w:rFonts w:ascii="Calibri" w:hAnsi="Calibri"/>
                <w:b w:val="0"/>
                <w:i w:val="0"/>
                <w:color w:val="112133"/>
                <w:sz w:val="20"/>
              </w:rPr>
              <w:t>Local mirror copy of memory, records, graph, and related files for additional persistence in a OneDrive path.</w:t>
            </w:r>
          </w:p>
        </w:tc>
      </w:tr>
    </w:tbl>
    <w:p/>
    <w:p>
      <w:pPr>
        <w:pStyle w:val="ListBullet"/>
        <w:spacing w:before="0" w:after="80" w:line="276" w:lineRule="auto"/>
      </w:pPr>
      <w:r>
        <w:rPr>
          <w:rFonts w:ascii="Calibri" w:hAnsi="Calibri"/>
          <w:b w:val="0"/>
          <w:i w:val="0"/>
          <w:color w:val="112133"/>
          <w:sz w:val="22"/>
        </w:rPr>
        <w:t>The memory and record stores use a queue-based atomic write pattern: write to a temporary file first, then replace the target file.</w:t>
      </w:r>
    </w:p>
    <w:p>
      <w:pPr>
        <w:pStyle w:val="ListBullet"/>
        <w:spacing w:before="0" w:after="80" w:line="276" w:lineRule="auto"/>
      </w:pPr>
      <w:r>
        <w:rPr>
          <w:rFonts w:ascii="Calibri" w:hAnsi="Calibri"/>
          <w:b w:val="0"/>
          <w:i w:val="0"/>
          <w:color w:val="112133"/>
          <w:sz w:val="22"/>
        </w:rPr>
        <w:t>The knowledge graph store supports both a legacy single-file graph and sharded patient graph files, plus bundled patient shards for packaged distribution.</w:t>
      </w:r>
    </w:p>
    <w:p>
      <w:pPr>
        <w:pStyle w:val="ListBullet"/>
        <w:spacing w:before="0" w:after="80" w:line="276" w:lineRule="auto"/>
      </w:pPr>
      <w:r>
        <w:rPr>
          <w:rFonts w:ascii="Calibri" w:hAnsi="Calibri"/>
          <w:b w:val="0"/>
          <w:i w:val="0"/>
          <w:color w:val="112133"/>
          <w:sz w:val="22"/>
        </w:rPr>
        <w:t>Browser localStorage is used only for light UI state such as selected theme, interface mode, and lightweight history helpers; the primary patient memory path is the local server store.</w:t>
      </w:r>
    </w:p>
    <w:p>
      <w:pPr>
        <w:pStyle w:val="ListBullet"/>
        <w:spacing w:before="0" w:after="80" w:line="276" w:lineRule="auto"/>
      </w:pPr>
      <w:r>
        <w:rPr>
          <w:rFonts w:ascii="Calibri" w:hAnsi="Calibri"/>
          <w:b w:val="0"/>
          <w:i w:val="0"/>
          <w:color w:val="112133"/>
          <w:sz w:val="22"/>
        </w:rPr>
        <w:t>LocalDataMirror synchronizes selected local data files to a OneDrive-compatible mirror directory after key operations.</w:t>
      </w:r>
    </w:p>
    <w:p>
      <w:pPr>
        <w:spacing w:before="320" w:after="160" w:line="264" w:lineRule="auto"/>
      </w:pPr>
      <w:r>
        <w:rPr>
          <w:rFonts w:ascii="Calibri" w:hAnsi="Calibri"/>
          <w:b/>
          <w:i w:val="0"/>
          <w:color w:val="2E74B5"/>
          <w:sz w:val="32"/>
        </w:rPr>
        <w:t>9. API Surface</w:t>
      </w:r>
    </w:p>
    <w:p>
      <w:pPr>
        <w:spacing w:before="0" w:after="120" w:line="276" w:lineRule="auto"/>
      </w:pPr>
      <w:r>
        <w:rPr>
          <w:rFonts w:ascii="Calibri" w:hAnsi="Calibri"/>
          <w:b w:val="0"/>
          <w:i w:val="0"/>
          <w:color w:val="112133"/>
          <w:sz w:val="22"/>
        </w:rPr>
        <w:t>The server exposes a broad API surface. Some endpoints drive the main app directly, while others expose diagnostics, governance, training, or export support.</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Total detected API endpoints</w:t>
            </w:r>
          </w:p>
        </w:tc>
        <w:tc>
          <w:tcPr>
            <w:tcW w:type="dxa" w:w="6480"/>
          </w:tcPr>
          <w:p>
            <w:pPr>
              <w:spacing w:before="0" w:after="0" w:line="240" w:lineRule="auto"/>
            </w:pPr>
            <w:r>
              <w:rPr>
                <w:rFonts w:ascii="Calibri" w:hAnsi="Calibri"/>
                <w:b w:val="0"/>
                <w:i w:val="0"/>
                <w:color w:val="112133"/>
                <w:sz w:val="21"/>
              </w:rPr>
              <w:t>49</w:t>
            </w:r>
          </w:p>
        </w:tc>
      </w:tr>
      <w:tr>
        <w:tc>
          <w:tcPr>
            <w:tcW w:type="dxa" w:w="2880"/>
          </w:tcPr>
          <w:p>
            <w:pPr>
              <w:spacing w:before="0" w:after="0" w:line="240" w:lineRule="auto"/>
            </w:pPr>
            <w:r>
              <w:rPr>
                <w:rFonts w:ascii="Calibri" w:hAnsi="Calibri"/>
                <w:b w:val="0"/>
                <w:i w:val="0"/>
                <w:color w:val="112133"/>
                <w:sz w:val="21"/>
              </w:rPr>
              <w:t>Runtime and health endpoints</w:t>
            </w:r>
          </w:p>
        </w:tc>
        <w:tc>
          <w:tcPr>
            <w:tcW w:type="dxa" w:w="6480"/>
          </w:tcPr>
          <w:p>
            <w:pPr>
              <w:spacing w:before="0" w:after="0" w:line="240" w:lineRule="auto"/>
            </w:pPr>
            <w:r>
              <w:rPr>
                <w:rFonts w:ascii="Calibri" w:hAnsi="Calibri"/>
                <w:b w:val="0"/>
                <w:i w:val="0"/>
                <w:color w:val="112133"/>
                <w:sz w:val="21"/>
              </w:rPr>
              <w:t>11</w:t>
            </w:r>
          </w:p>
        </w:tc>
      </w:tr>
      <w:tr>
        <w:tc>
          <w:tcPr>
            <w:tcW w:type="dxa" w:w="2880"/>
          </w:tcPr>
          <w:p>
            <w:pPr>
              <w:spacing w:before="0" w:after="0" w:line="240" w:lineRule="auto"/>
            </w:pPr>
            <w:r>
              <w:rPr>
                <w:rFonts w:ascii="Calibri" w:hAnsi="Calibri"/>
                <w:b w:val="0"/>
                <w:i w:val="0"/>
                <w:color w:val="112133"/>
                <w:sz w:val="21"/>
              </w:rPr>
              <w:t>Clinical action endpoints</w:t>
            </w:r>
          </w:p>
        </w:tc>
        <w:tc>
          <w:tcPr>
            <w:tcW w:type="dxa" w:w="6480"/>
          </w:tcPr>
          <w:p>
            <w:pPr>
              <w:spacing w:before="0" w:after="0" w:line="240" w:lineRule="auto"/>
            </w:pPr>
            <w:r>
              <w:rPr>
                <w:rFonts w:ascii="Calibri" w:hAnsi="Calibri"/>
                <w:b w:val="0"/>
                <w:i w:val="0"/>
                <w:color w:val="112133"/>
                <w:sz w:val="21"/>
              </w:rPr>
              <w:t>9</w:t>
            </w:r>
          </w:p>
        </w:tc>
      </w:tr>
      <w:tr>
        <w:tc>
          <w:tcPr>
            <w:tcW w:type="dxa" w:w="2880"/>
          </w:tcPr>
          <w:p>
            <w:pPr>
              <w:spacing w:before="0" w:after="0" w:line="240" w:lineRule="auto"/>
            </w:pPr>
            <w:r>
              <w:rPr>
                <w:rFonts w:ascii="Calibri" w:hAnsi="Calibri"/>
                <w:b w:val="0"/>
                <w:i w:val="0"/>
                <w:color w:val="112133"/>
                <w:sz w:val="21"/>
              </w:rPr>
              <w:t>Persistence endpoints</w:t>
            </w:r>
          </w:p>
        </w:tc>
        <w:tc>
          <w:tcPr>
            <w:tcW w:type="dxa" w:w="6480"/>
          </w:tcPr>
          <w:p>
            <w:pPr>
              <w:spacing w:before="0" w:after="0" w:line="240" w:lineRule="auto"/>
            </w:pPr>
            <w:r>
              <w:rPr>
                <w:rFonts w:ascii="Calibri" w:hAnsi="Calibri"/>
                <w:b w:val="0"/>
                <w:i w:val="0"/>
                <w:color w:val="112133"/>
                <w:sz w:val="21"/>
              </w:rPr>
              <w:t>7</w:t>
            </w:r>
          </w:p>
        </w:tc>
      </w:tr>
      <w:tr>
        <w:tc>
          <w:tcPr>
            <w:tcW w:type="dxa" w:w="2880"/>
          </w:tcPr>
          <w:p>
            <w:pPr>
              <w:spacing w:before="0" w:after="0" w:line="240" w:lineRule="auto"/>
            </w:pPr>
            <w:r>
              <w:rPr>
                <w:rFonts w:ascii="Calibri" w:hAnsi="Calibri"/>
                <w:b w:val="0"/>
                <w:i w:val="0"/>
                <w:color w:val="112133"/>
                <w:sz w:val="21"/>
              </w:rPr>
              <w:t>Training endpoints</w:t>
            </w:r>
          </w:p>
        </w:tc>
        <w:tc>
          <w:tcPr>
            <w:tcW w:type="dxa" w:w="6480"/>
          </w:tcPr>
          <w:p>
            <w:pPr>
              <w:spacing w:before="0" w:after="0" w:line="240" w:lineRule="auto"/>
            </w:pPr>
            <w:r>
              <w:rPr>
                <w:rFonts w:ascii="Calibri" w:hAnsi="Calibri"/>
                <w:b w:val="0"/>
                <w:i w:val="0"/>
                <w:color w:val="112133"/>
                <w:sz w:val="21"/>
              </w:rPr>
              <w:t>5</w:t>
            </w:r>
          </w:p>
        </w:tc>
      </w:tr>
      <w:tr>
        <w:tc>
          <w:tcPr>
            <w:tcW w:type="dxa" w:w="2880"/>
          </w:tcPr>
          <w:p>
            <w:pPr>
              <w:spacing w:before="0" w:after="0" w:line="240" w:lineRule="auto"/>
            </w:pPr>
            <w:r>
              <w:rPr>
                <w:rFonts w:ascii="Calibri" w:hAnsi="Calibri"/>
                <w:b w:val="0"/>
                <w:i w:val="0"/>
                <w:color w:val="112133"/>
                <w:sz w:val="21"/>
              </w:rPr>
              <w:t>Knowledge and governance endpoints</w:t>
            </w:r>
          </w:p>
        </w:tc>
        <w:tc>
          <w:tcPr>
            <w:tcW w:type="dxa" w:w="6480"/>
          </w:tcPr>
          <w:p>
            <w:pPr>
              <w:spacing w:before="0" w:after="0" w:line="240" w:lineRule="auto"/>
            </w:pPr>
            <w:r>
              <w:rPr>
                <w:rFonts w:ascii="Calibri" w:hAnsi="Calibri"/>
                <w:b w:val="0"/>
                <w:i w:val="0"/>
                <w:color w:val="112133"/>
                <w:sz w:val="21"/>
              </w:rPr>
              <w:t>17</w:t>
            </w:r>
          </w:p>
        </w:tc>
      </w:tr>
    </w:tbl>
    <w:p/>
    <w:p>
      <w:pPr>
        <w:spacing w:before="240" w:after="120" w:line="264" w:lineRule="auto"/>
      </w:pPr>
      <w:r>
        <w:rPr>
          <w:rFonts w:ascii="Calibri" w:hAnsi="Calibri"/>
          <w:b/>
          <w:i w:val="0"/>
          <w:color w:val="2E74B5"/>
          <w:sz w:val="26"/>
        </w:rPr>
        <w:t>Runtime, health, and deployment</w:t>
      </w:r>
    </w:p>
    <w:p>
      <w:pPr>
        <w:pStyle w:val="ListBullet"/>
        <w:spacing w:before="0" w:after="80" w:line="276" w:lineRule="auto"/>
      </w:pPr>
      <w:r>
        <w:rPr>
          <w:rFonts w:ascii="Calibri" w:hAnsi="Calibri"/>
          <w:b w:val="0"/>
          <w:i w:val="0"/>
          <w:color w:val="112133"/>
          <w:sz w:val="22"/>
        </w:rPr>
        <w:t>/api/agentic-runtime, /api/deployment, /api/deployment-readiness, /api/health</w:t>
      </w:r>
    </w:p>
    <w:p>
      <w:pPr>
        <w:pStyle w:val="ListBullet"/>
        <w:spacing w:before="0" w:after="80" w:line="276" w:lineRule="auto"/>
      </w:pPr>
      <w:r>
        <w:rPr>
          <w:rFonts w:ascii="Calibri" w:hAnsi="Calibri"/>
          <w:b w:val="0"/>
          <w:i w:val="0"/>
          <w:color w:val="112133"/>
          <w:sz w:val="22"/>
        </w:rPr>
        <w:t>/api/local-ai, /api/model, /api/model-health, /api/model-router</w:t>
      </w:r>
    </w:p>
    <w:p>
      <w:pPr>
        <w:pStyle w:val="ListBullet"/>
        <w:spacing w:before="0" w:after="80" w:line="276" w:lineRule="auto"/>
      </w:pPr>
      <w:r>
        <w:rPr>
          <w:rFonts w:ascii="Calibri" w:hAnsi="Calibri"/>
          <w:b w:val="0"/>
          <w:i w:val="0"/>
          <w:color w:val="112133"/>
          <w:sz w:val="22"/>
        </w:rPr>
        <w:t>/api/model-router/preview, /api/readiness, /api/ready</w:t>
      </w:r>
    </w:p>
    <w:p>
      <w:pPr>
        <w:spacing w:before="240" w:after="120" w:line="264" w:lineRule="auto"/>
      </w:pPr>
      <w:r>
        <w:rPr>
          <w:rFonts w:ascii="Calibri" w:hAnsi="Calibri"/>
          <w:b/>
          <w:i w:val="0"/>
          <w:color w:val="2E74B5"/>
          <w:sz w:val="26"/>
        </w:rPr>
        <w:t>Clinical analysis and report generation</w:t>
      </w:r>
    </w:p>
    <w:p>
      <w:pPr>
        <w:pStyle w:val="ListBullet"/>
        <w:spacing w:before="0" w:after="80" w:line="276" w:lineRule="auto"/>
      </w:pPr>
      <w:r>
        <w:rPr>
          <w:rFonts w:ascii="Calibri" w:hAnsi="Calibri"/>
          <w:b w:val="0"/>
          <w:i w:val="0"/>
          <w:color w:val="112133"/>
          <w:sz w:val="22"/>
        </w:rPr>
        <w:t>/api/analyze, /api/doctor-ready-report, /api/evidence-citations, /api/human-review</w:t>
      </w:r>
    </w:p>
    <w:p>
      <w:pPr>
        <w:pStyle w:val="ListBullet"/>
        <w:spacing w:before="0" w:after="80" w:line="276" w:lineRule="auto"/>
      </w:pPr>
      <w:r>
        <w:rPr>
          <w:rFonts w:ascii="Calibri" w:hAnsi="Calibri"/>
          <w:b w:val="0"/>
          <w:i w:val="0"/>
          <w:color w:val="112133"/>
          <w:sz w:val="22"/>
        </w:rPr>
        <w:t>/api/medicine/lookup, /api/multimodal-intake, /api/prevention-plan, /api/realtime</w:t>
      </w:r>
    </w:p>
    <w:p>
      <w:pPr>
        <w:pStyle w:val="ListBullet"/>
        <w:spacing w:before="0" w:after="80" w:line="276" w:lineRule="auto"/>
      </w:pPr>
      <w:r>
        <w:rPr>
          <w:rFonts w:ascii="Calibri" w:hAnsi="Calibri"/>
          <w:b w:val="0"/>
          <w:i w:val="0"/>
          <w:color w:val="112133"/>
          <w:sz w:val="22"/>
        </w:rPr>
        <w:t>/api/safety-triage</w:t>
      </w:r>
    </w:p>
    <w:p>
      <w:pPr>
        <w:spacing w:before="240" w:after="120" w:line="264" w:lineRule="auto"/>
      </w:pPr>
      <w:r>
        <w:rPr>
          <w:rFonts w:ascii="Calibri" w:hAnsi="Calibri"/>
          <w:b/>
          <w:i w:val="0"/>
          <w:color w:val="2E74B5"/>
          <w:sz w:val="26"/>
        </w:rPr>
        <w:t>Patient persistence and mirrors</w:t>
      </w:r>
    </w:p>
    <w:p>
      <w:pPr>
        <w:pStyle w:val="ListBullet"/>
        <w:spacing w:before="0" w:after="80" w:line="276" w:lineRule="auto"/>
      </w:pPr>
      <w:r>
        <w:rPr>
          <w:rFonts w:ascii="Calibri" w:hAnsi="Calibri"/>
          <w:b w:val="0"/>
          <w:i w:val="0"/>
          <w:color w:val="112133"/>
          <w:sz w:val="22"/>
        </w:rPr>
        <w:t>/api/knowledge-graph, /api/knowledge-graph/clear, /api/local-data-mirror, /api/memory</w:t>
      </w:r>
    </w:p>
    <w:p>
      <w:pPr>
        <w:pStyle w:val="ListBullet"/>
        <w:spacing w:before="0" w:after="80" w:line="276" w:lineRule="auto"/>
      </w:pPr>
      <w:r>
        <w:rPr>
          <w:rFonts w:ascii="Calibri" w:hAnsi="Calibri"/>
          <w:b w:val="0"/>
          <w:i w:val="0"/>
          <w:color w:val="112133"/>
          <w:sz w:val="22"/>
        </w:rPr>
        <w:t>/api/memory/clear, /api/records, /api/records/clear</w:t>
      </w:r>
    </w:p>
    <w:p>
      <w:pPr>
        <w:spacing w:before="240" w:after="120" w:line="264" w:lineRule="auto"/>
      </w:pPr>
      <w:r>
        <w:rPr>
          <w:rFonts w:ascii="Calibri" w:hAnsi="Calibri"/>
          <w:b/>
          <w:i w:val="0"/>
          <w:color w:val="2E74B5"/>
          <w:sz w:val="26"/>
        </w:rPr>
        <w:t>Training and calibration</w:t>
      </w:r>
    </w:p>
    <w:p>
      <w:pPr>
        <w:pStyle w:val="ListBullet"/>
        <w:spacing w:before="0" w:after="80" w:line="276" w:lineRule="auto"/>
      </w:pPr>
      <w:r>
        <w:rPr>
          <w:rFonts w:ascii="Calibri" w:hAnsi="Calibri"/>
          <w:b w:val="0"/>
          <w:i w:val="0"/>
          <w:color w:val="112133"/>
          <w:sz w:val="22"/>
        </w:rPr>
        <w:t>/api/training, /api/training-readiness, /api/training/evaluate, /api/training/example</w:t>
      </w:r>
    </w:p>
    <w:p>
      <w:pPr>
        <w:pStyle w:val="ListBullet"/>
        <w:spacing w:before="0" w:after="80" w:line="276" w:lineRule="auto"/>
      </w:pPr>
      <w:r>
        <w:rPr>
          <w:rFonts w:ascii="Calibri" w:hAnsi="Calibri"/>
          <w:b w:val="0"/>
          <w:i w:val="0"/>
          <w:color w:val="112133"/>
          <w:sz w:val="22"/>
        </w:rPr>
        <w:t>/api/training/train</w:t>
      </w:r>
    </w:p>
    <w:p>
      <w:pPr>
        <w:spacing w:before="240" w:after="120" w:line="264" w:lineRule="auto"/>
      </w:pPr>
      <w:r>
        <w:rPr>
          <w:rFonts w:ascii="Calibri" w:hAnsi="Calibri"/>
          <w:b/>
          <w:i w:val="0"/>
          <w:color w:val="2E74B5"/>
          <w:sz w:val="26"/>
        </w:rPr>
        <w:t>Knowledge, governance, and integrations</w:t>
      </w:r>
    </w:p>
    <w:p>
      <w:pPr>
        <w:pStyle w:val="ListBullet"/>
        <w:spacing w:before="0" w:after="80" w:line="276" w:lineRule="auto"/>
      </w:pPr>
      <w:r>
        <w:rPr>
          <w:rFonts w:ascii="Calibri" w:hAnsi="Calibri"/>
          <w:b w:val="0"/>
          <w:i w:val="0"/>
          <w:color w:val="112133"/>
          <w:sz w:val="22"/>
        </w:rPr>
        <w:t>/api/admin-trust-center, /api/advanced-capabilities, /api/backup-plan, /api/evaluation-dashboard</w:t>
      </w:r>
    </w:p>
    <w:p>
      <w:pPr>
        <w:pStyle w:val="ListBullet"/>
        <w:spacing w:before="0" w:after="80" w:line="276" w:lineRule="auto"/>
      </w:pPr>
      <w:r>
        <w:rPr>
          <w:rFonts w:ascii="Calibri" w:hAnsi="Calibri"/>
          <w:b w:val="0"/>
          <w:i w:val="0"/>
          <w:color w:val="112133"/>
          <w:sz w:val="22"/>
        </w:rPr>
        <w:t>/api/external-knowledge, /api/external-knowledge/clear, /api/fhir, /api/fhir-connector</w:t>
      </w:r>
    </w:p>
    <w:p>
      <w:pPr>
        <w:pStyle w:val="ListBullet"/>
        <w:spacing w:before="0" w:after="80" w:line="276" w:lineRule="auto"/>
      </w:pPr>
      <w:r>
        <w:rPr>
          <w:rFonts w:ascii="Calibri" w:hAnsi="Calibri"/>
          <w:b w:val="0"/>
          <w:i w:val="0"/>
          <w:color w:val="112133"/>
          <w:sz w:val="22"/>
        </w:rPr>
        <w:t>/api/governance, /api/knowledge, /api/model-quality, /api/model-quality/evaluate</w:t>
      </w:r>
    </w:p>
    <w:p>
      <w:pPr>
        <w:pStyle w:val="ListBullet"/>
        <w:spacing w:before="0" w:after="80" w:line="276" w:lineRule="auto"/>
      </w:pPr>
      <w:r>
        <w:rPr>
          <w:rFonts w:ascii="Calibri" w:hAnsi="Calibri"/>
          <w:b w:val="0"/>
          <w:i w:val="0"/>
          <w:color w:val="112133"/>
          <w:sz w:val="22"/>
        </w:rPr>
        <w:t>/api/offline-pack-manager, /api/offline-packs, /api/report-templates, /api/trusted-sources</w:t>
      </w:r>
    </w:p>
    <w:p>
      <w:pPr>
        <w:pStyle w:val="ListBullet"/>
        <w:spacing w:before="0" w:after="80" w:line="276" w:lineRule="auto"/>
      </w:pPr>
      <w:r>
        <w:rPr>
          <w:rFonts w:ascii="Calibri" w:hAnsi="Calibri"/>
          <w:b w:val="0"/>
          <w:i w:val="0"/>
          <w:color w:val="112133"/>
          <w:sz w:val="22"/>
        </w:rPr>
        <w:t>/api/trusted-sources/plan</w:t>
      </w:r>
    </w:p>
    <w:p>
      <w:pPr>
        <w:spacing w:before="320" w:after="160" w:line="264" w:lineRule="auto"/>
      </w:pPr>
      <w:r>
        <w:rPr>
          <w:rFonts w:ascii="Calibri" w:hAnsi="Calibri"/>
          <w:b/>
          <w:i w:val="0"/>
          <w:color w:val="2E74B5"/>
          <w:sz w:val="32"/>
        </w:rPr>
        <w:t>10. Frontend Application Model</w:t>
      </w:r>
    </w:p>
    <w:p>
      <w:pPr>
        <w:spacing w:before="0" w:after="120" w:line="276" w:lineRule="auto"/>
      </w:pPr>
      <w:r>
        <w:rPr>
          <w:rFonts w:ascii="Calibri" w:hAnsi="Calibri"/>
          <w:b w:val="0"/>
          <w:i w:val="0"/>
          <w:color w:val="112133"/>
          <w:sz w:val="22"/>
        </w:rPr>
        <w:t>The frontend is implemented in public/app.js and public/index.html as a large vanilla JavaScript single-page application. It does not depend on a heavyweight frontend framework. That choice keeps the installation simple and makes GitHub/static packaging easier, but it also means UI state management is hand-built.</w:t>
      </w:r>
    </w:p>
    <w:p>
      <w:pPr>
        <w:pStyle w:val="ListBullet"/>
        <w:spacing w:before="0" w:after="80" w:line="276" w:lineRule="auto"/>
      </w:pPr>
      <w:r>
        <w:rPr>
          <w:rFonts w:ascii="Calibri" w:hAnsi="Calibri"/>
          <w:b w:val="0"/>
          <w:i w:val="0"/>
          <w:color w:val="112133"/>
          <w:sz w:val="22"/>
        </w:rPr>
        <w:t>Interface routing is handled through hash and history state helpers, allowing direct tab navigation such as General, Specialist, Atlas, Vitals, Medicine, Labs, Wellness, Visits, Safety, Records, Insurance, Summary, Profile, and Guide.</w:t>
      </w:r>
    </w:p>
    <w:p>
      <w:pPr>
        <w:pStyle w:val="ListBullet"/>
        <w:spacing w:before="0" w:after="80" w:line="276" w:lineRule="auto"/>
      </w:pPr>
      <w:r>
        <w:rPr>
          <w:rFonts w:ascii="Calibri" w:hAnsi="Calibri"/>
          <w:b w:val="0"/>
          <w:i w:val="0"/>
          <w:color w:val="112133"/>
          <w:sz w:val="22"/>
        </w:rPr>
        <w:t>The UI supports guided and expert modes, per-tab workspace subtabs, a compact command hub, multilingual translation, theme switching, and installed-app behavior.</w:t>
      </w:r>
    </w:p>
    <w:p>
      <w:pPr>
        <w:pStyle w:val="ListBullet"/>
        <w:spacing w:before="0" w:after="80" w:line="276" w:lineRule="auto"/>
      </w:pPr>
      <w:r>
        <w:rPr>
          <w:rFonts w:ascii="Calibri" w:hAnsi="Calibri"/>
          <w:b w:val="0"/>
          <w:i w:val="0"/>
          <w:color w:val="112133"/>
          <w:sz w:val="22"/>
        </w:rPr>
        <w:t>Realtime mode uses /api/realtime for low-latency preview while full runs use /api/analyze for persistence and post-processing.</w:t>
      </w:r>
    </w:p>
    <w:p>
      <w:pPr>
        <w:pStyle w:val="ListBullet"/>
        <w:spacing w:before="0" w:after="80" w:line="276" w:lineRule="auto"/>
      </w:pPr>
      <w:r>
        <w:rPr>
          <w:rFonts w:ascii="Calibri" w:hAnsi="Calibri"/>
          <w:b w:val="0"/>
          <w:i w:val="0"/>
          <w:color w:val="112133"/>
          <w:sz w:val="22"/>
        </w:rPr>
        <w:t>The Guide system includes both a slide guide and an optional chunked HD video loader path for larger walkthrough assets.</w:t>
      </w:r>
    </w:p>
    <w:p>
      <w:pPr>
        <w:pStyle w:val="ListBullet"/>
        <w:spacing w:before="0" w:after="80" w:line="276" w:lineRule="auto"/>
      </w:pPr>
      <w:r>
        <w:rPr>
          <w:rFonts w:ascii="Calibri" w:hAnsi="Calibri"/>
          <w:b w:val="0"/>
          <w:i w:val="0"/>
          <w:color w:val="112133"/>
          <w:sz w:val="22"/>
        </w:rPr>
        <w:t>The service worker and web manifest make the app installable as a PWA, enabling splash/loading behavior and offline shell caching.</w:t>
      </w:r>
    </w:p>
    <w:p>
      <w:pPr>
        <w:spacing w:before="320" w:after="160" w:line="264" w:lineRule="auto"/>
      </w:pPr>
      <w:r>
        <w:rPr>
          <w:rFonts w:ascii="Calibri" w:hAnsi="Calibri"/>
          <w:b/>
          <w:i w:val="0"/>
          <w:color w:val="2E74B5"/>
          <w:sz w:val="32"/>
        </w:rPr>
        <w:t>11. Offline vs Online Operation</w:t>
      </w:r>
    </w:p>
    <w:p>
      <w:pPr>
        <w:spacing w:before="0" w:after="120" w:line="276" w:lineRule="auto"/>
      </w:pPr>
      <w:r>
        <w:rPr>
          <w:rFonts w:ascii="Calibri" w:hAnsi="Calibri"/>
          <w:b w:val="0"/>
          <w:i w:val="0"/>
          <w:color w:val="112133"/>
          <w:sz w:val="22"/>
        </w:rPr>
        <w:t>The core design target is parity of behavior across offline and online modes. Online mode adds optional knowledge or rewrite stages, but the same local engine remains in charge.</w:t>
      </w:r>
    </w:p>
    <w:tbl>
      <w:tblPr>
        <w:tblStyle w:val="TableGrid"/>
        <w:tblW w:type="auto" w:w="0"/>
        <w:tblLayout w:type="fixed"/>
        <w:tblLook w:firstColumn="1" w:firstRow="1" w:lastColumn="0" w:lastRow="0" w:noHBand="0" w:noVBand="1" w:val="04A0"/>
      </w:tblPr>
      <w:tblGrid>
        <w:gridCol w:w="1584"/>
        <w:gridCol w:w="3744"/>
        <w:gridCol w:w="4032"/>
      </w:tblGrid>
      <w:tr>
        <w:trPr>
          <w:tblHeader w:val="true"/>
        </w:trPr>
        <w:tc>
          <w:tcPr>
            <w:tcW w:type="dxa" w:w="1584"/>
            <w:tcMar>
              <w:top w:w="90" w:type="dxa"/>
              <w:start w:w="120" w:type="dxa"/>
              <w:bottom w:w="90" w:type="dxa"/>
              <w:end w:w="120" w:type="dxa"/>
            </w:tcMar>
            <w:shd w:fill="F3F6FA"/>
          </w:tcPr>
          <w:p>
            <w:pPr>
              <w:spacing w:before="0" w:after="0" w:line="240" w:lineRule="auto"/>
            </w:pPr>
            <w:r>
              <w:rPr>
                <w:rFonts w:ascii="Calibri" w:hAnsi="Calibri"/>
                <w:b/>
                <w:i w:val="0"/>
                <w:color w:val="576779"/>
                <w:sz w:val="20"/>
              </w:rPr>
              <w:t>Mode</w:t>
            </w:r>
          </w:p>
        </w:tc>
        <w:tc>
          <w:tcPr>
            <w:tcW w:type="dxa" w:w="3744"/>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stays the same</w:t>
            </w:r>
          </w:p>
        </w:tc>
        <w:tc>
          <w:tcPr>
            <w:tcW w:type="dxa" w:w="4032"/>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can be added</w:t>
            </w:r>
          </w:p>
        </w:tc>
      </w:tr>
      <w:tr>
        <w:tc>
          <w:tcPr>
            <w:tcW w:type="dxa" w:w="1584"/>
          </w:tcPr>
          <w:p>
            <w:pPr>
              <w:spacing w:before="0" w:after="0" w:line="240" w:lineRule="auto"/>
            </w:pPr>
            <w:r>
              <w:rPr>
                <w:rFonts w:ascii="Calibri" w:hAnsi="Calibri"/>
                <w:b w:val="0"/>
                <w:i w:val="0"/>
                <w:color w:val="112133"/>
                <w:sz w:val="20"/>
              </w:rPr>
              <w:t>Offline</w:t>
            </w:r>
          </w:p>
        </w:tc>
        <w:tc>
          <w:tcPr>
            <w:tcW w:type="dxa" w:w="3744"/>
          </w:tcPr>
          <w:p>
            <w:pPr>
              <w:spacing w:before="0" w:after="0" w:line="240" w:lineRule="auto"/>
            </w:pPr>
            <w:r>
              <w:rPr>
                <w:rFonts w:ascii="Calibri" w:hAnsi="Calibri"/>
                <w:b w:val="0"/>
                <w:i w:val="0"/>
                <w:color w:val="112133"/>
                <w:sz w:val="20"/>
              </w:rPr>
              <w:t>The same Node API, health engine, specialist runners, local knowledge, local storage, and guardrails remain active.</w:t>
            </w:r>
          </w:p>
        </w:tc>
        <w:tc>
          <w:tcPr>
            <w:tcW w:type="dxa" w:w="4032"/>
          </w:tcPr>
          <w:p>
            <w:pPr>
              <w:spacing w:before="0" w:after="0" w:line="240" w:lineRule="auto"/>
            </w:pPr>
            <w:r>
              <w:rPr>
                <w:rFonts w:ascii="Calibri" w:hAnsi="Calibri"/>
                <w:b w:val="0"/>
                <w:i w:val="0"/>
                <w:color w:val="112133"/>
                <w:sz w:val="20"/>
              </w:rPr>
              <w:t>No internet is required. The system uses only local retrieval, local persistence, and optional local LLM runtimes.</w:t>
            </w:r>
          </w:p>
        </w:tc>
      </w:tr>
      <w:tr>
        <w:tc>
          <w:tcPr>
            <w:tcW w:type="dxa" w:w="1584"/>
          </w:tcPr>
          <w:p>
            <w:pPr>
              <w:spacing w:before="0" w:after="0" w:line="240" w:lineRule="auto"/>
            </w:pPr>
            <w:r>
              <w:rPr>
                <w:rFonts w:ascii="Calibri" w:hAnsi="Calibri"/>
                <w:b w:val="0"/>
                <w:i w:val="0"/>
                <w:color w:val="112133"/>
                <w:sz w:val="20"/>
              </w:rPr>
              <w:t>Online-ready local safe core</w:t>
            </w:r>
          </w:p>
        </w:tc>
        <w:tc>
          <w:tcPr>
            <w:tcW w:type="dxa" w:w="3744"/>
          </w:tcPr>
          <w:p>
            <w:pPr>
              <w:spacing w:before="0" w:after="0" w:line="240" w:lineRule="auto"/>
            </w:pPr>
            <w:r>
              <w:rPr>
                <w:rFonts w:ascii="Calibri" w:hAnsi="Calibri"/>
                <w:b w:val="0"/>
                <w:i w:val="0"/>
                <w:color w:val="112133"/>
                <w:sz w:val="20"/>
              </w:rPr>
              <w:t>The local deterministic path still runs first and still owns persistence and safety boundaries.</w:t>
            </w:r>
          </w:p>
        </w:tc>
        <w:tc>
          <w:tcPr>
            <w:tcW w:type="dxa" w:w="4032"/>
          </w:tcPr>
          <w:p>
            <w:pPr>
              <w:spacing w:before="0" w:after="0" w:line="240" w:lineRule="auto"/>
            </w:pPr>
            <w:r>
              <w:rPr>
                <w:rFonts w:ascii="Calibri" w:hAnsi="Calibri"/>
                <w:b w:val="0"/>
                <w:i w:val="0"/>
                <w:color w:val="112133"/>
                <w:sz w:val="20"/>
              </w:rPr>
              <w:t>Approved external reference retrieval and optional cloud rewrite paths can be enabled through environment variables.</w:t>
            </w:r>
          </w:p>
        </w:tc>
      </w:tr>
      <w:tr>
        <w:tc>
          <w:tcPr>
            <w:tcW w:type="dxa" w:w="1584"/>
          </w:tcPr>
          <w:p>
            <w:pPr>
              <w:spacing w:before="0" w:after="0" w:line="240" w:lineRule="auto"/>
            </w:pPr>
            <w:r>
              <w:rPr>
                <w:rFonts w:ascii="Calibri" w:hAnsi="Calibri"/>
                <w:b w:val="0"/>
                <w:i w:val="0"/>
                <w:color w:val="112133"/>
                <w:sz w:val="20"/>
              </w:rPr>
              <w:t>Hybrid</w:t>
            </w:r>
          </w:p>
        </w:tc>
        <w:tc>
          <w:tcPr>
            <w:tcW w:type="dxa" w:w="3744"/>
          </w:tcPr>
          <w:p>
            <w:pPr>
              <w:spacing w:before="0" w:after="0" w:line="240" w:lineRule="auto"/>
            </w:pPr>
            <w:r>
              <w:rPr>
                <w:rFonts w:ascii="Calibri" w:hAnsi="Calibri"/>
                <w:b w:val="0"/>
                <w:i w:val="0"/>
                <w:color w:val="112133"/>
                <w:sz w:val="20"/>
              </w:rPr>
              <w:t>The planner, route selection, memory, records, graph updates, and guardrails remain local.</w:t>
            </w:r>
          </w:p>
        </w:tc>
        <w:tc>
          <w:tcPr>
            <w:tcW w:type="dxa" w:w="4032"/>
          </w:tcPr>
          <w:p>
            <w:pPr>
              <w:spacing w:before="0" w:after="0" w:line="240" w:lineRule="auto"/>
            </w:pPr>
            <w:r>
              <w:rPr>
                <w:rFonts w:ascii="Calibri" w:hAnsi="Calibri"/>
                <w:b w:val="0"/>
                <w:i w:val="0"/>
                <w:color w:val="112133"/>
                <w:sz w:val="20"/>
              </w:rPr>
              <w:t>Cloud or remote models may handle complex rewrites or second-pass reasoning when policy allows it.</w:t>
            </w:r>
          </w:p>
        </w:tc>
      </w:tr>
    </w:tbl>
    <w:p/>
    <w:p>
      <w:pPr>
        <w:spacing w:before="0" w:after="120" w:line="276" w:lineRule="auto"/>
      </w:pPr>
      <w:r>
        <w:rPr>
          <w:rFonts w:ascii="Calibri" w:hAnsi="Calibri"/>
          <w:b w:val="0"/>
          <w:i w:val="0"/>
          <w:color w:val="112133"/>
          <w:sz w:val="22"/>
        </w:rPr>
        <w:t>Connectivity policy is implemented in src/runtimeConnectivity.js. It determines whether a remote endpoint is usable for the current run, whether forced-offline mode is active, and whether only local endpoints are allowed.</w:t>
      </w:r>
    </w:p>
    <w:p>
      <w:pPr>
        <w:spacing w:before="320" w:after="160" w:line="264" w:lineRule="auto"/>
      </w:pPr>
      <w:r>
        <w:rPr>
          <w:rFonts w:ascii="Calibri" w:hAnsi="Calibri"/>
          <w:b/>
          <w:i w:val="0"/>
          <w:color w:val="2E74B5"/>
          <w:sz w:val="32"/>
        </w:rPr>
        <w:t>12. Safety and Governance</w:t>
      </w:r>
    </w:p>
    <w:p>
      <w:pPr>
        <w:spacing w:before="0" w:after="120" w:line="276" w:lineRule="auto"/>
      </w:pPr>
      <w:r>
        <w:rPr>
          <w:rFonts w:ascii="Calibri" w:hAnsi="Calibri"/>
          <w:b w:val="0"/>
          <w:i w:val="0"/>
          <w:color w:val="112133"/>
          <w:sz w:val="22"/>
        </w:rPr>
        <w:t>Safety is not a final banner added only in the UI. It is embedded across the repository: rule-based risk scoring, specialist route boundaries, retrieval scope control, final response guardrails, trusted source planning, and governance metadata.</w:t>
      </w:r>
    </w:p>
    <w:p>
      <w:pPr>
        <w:pStyle w:val="ListBullet"/>
        <w:spacing w:before="0" w:after="80" w:line="276" w:lineRule="auto"/>
      </w:pPr>
      <w:r>
        <w:rPr>
          <w:rFonts w:ascii="Calibri" w:hAnsi="Calibri"/>
          <w:b w:val="0"/>
          <w:i w:val="0"/>
          <w:color w:val="112133"/>
          <w:sz w:val="22"/>
        </w:rPr>
        <w:t>applyGuardrails() in src/healthEngine.js blocks diagnosis wording, dosage instructions, prescribing language, and certain categories of unsupported action claims.</w:t>
      </w:r>
    </w:p>
    <w:p>
      <w:pPr>
        <w:pStyle w:val="ListBullet"/>
        <w:spacing w:before="0" w:after="80" w:line="276" w:lineRule="auto"/>
      </w:pPr>
      <w:r>
        <w:rPr>
          <w:rFonts w:ascii="Calibri" w:hAnsi="Calibri"/>
          <w:b w:val="0"/>
          <w:i w:val="0"/>
          <w:color w:val="112133"/>
          <w:sz w:val="22"/>
        </w:rPr>
        <w:t>advancedCapabilityEngine.js contains urgent-signal rules for chest pain, stroke, severe allergy, fainting, dangerous bleeding, mental-health crisis, very high BP, and high-fever risk.</w:t>
      </w:r>
    </w:p>
    <w:p>
      <w:pPr>
        <w:pStyle w:val="ListBullet"/>
        <w:spacing w:before="0" w:after="80" w:line="276" w:lineRule="auto"/>
      </w:pPr>
      <w:r>
        <w:rPr>
          <w:rFonts w:ascii="Calibri" w:hAnsi="Calibri"/>
          <w:b w:val="0"/>
          <w:i w:val="0"/>
          <w:color w:val="112133"/>
          <w:sz w:val="22"/>
        </w:rPr>
        <w:t>productIntelligence.js documents trusted source connectors, offline packs, report templates, quality metrics, governance expectations, and FHIR-readiness boundaries.</w:t>
      </w:r>
    </w:p>
    <w:p>
      <w:pPr>
        <w:pStyle w:val="ListBullet"/>
        <w:spacing w:before="0" w:after="80" w:line="276" w:lineRule="auto"/>
      </w:pPr>
      <w:r>
        <w:rPr>
          <w:rFonts w:ascii="Calibri" w:hAnsi="Calibri"/>
          <w:b w:val="0"/>
          <w:i w:val="0"/>
          <w:color w:val="112133"/>
          <w:sz w:val="22"/>
        </w:rPr>
        <w:t>The offline repository build process explicitly states that copyrighted full textbooks or clinical guidelines should not be bundled without license approval.</w:t>
      </w:r>
    </w:p>
    <w:p>
      <w:pPr>
        <w:pStyle w:val="ListBullet"/>
        <w:spacing w:before="0" w:after="80" w:line="276" w:lineRule="auto"/>
      </w:pPr>
      <w:r>
        <w:rPr>
          <w:rFonts w:ascii="Calibri" w:hAnsi="Calibri"/>
          <w:b w:val="0"/>
          <w:i w:val="0"/>
          <w:color w:val="112133"/>
          <w:sz w:val="22"/>
        </w:rPr>
        <w:t>The training subsystem is intentionally restricted to approved feedback calibration and explicitly avoids using PHI as free-form training data.</w:t>
      </w:r>
    </w:p>
    <w:p>
      <w:pPr>
        <w:spacing w:before="320" w:after="160" w:line="264" w:lineRule="auto"/>
      </w:pPr>
      <w:r>
        <w:rPr>
          <w:rFonts w:ascii="Calibri" w:hAnsi="Calibri"/>
          <w:b/>
          <w:i w:val="0"/>
          <w:color w:val="2E74B5"/>
          <w:sz w:val="32"/>
        </w:rPr>
        <w:t>13. Build, Run, and Release Workflow</w:t>
      </w:r>
    </w:p>
    <w:p>
      <w:pPr>
        <w:spacing w:before="0" w:after="120" w:line="276" w:lineRule="auto"/>
      </w:pPr>
      <w:r>
        <w:rPr>
          <w:rFonts w:ascii="Calibri" w:hAnsi="Calibri"/>
          <w:b w:val="0"/>
          <w:i w:val="0"/>
          <w:color w:val="112133"/>
          <w:sz w:val="22"/>
        </w:rPr>
        <w:t>The repository includes a clear set of commands for local execution, syntax validation, smoke testing, offline repository rebuilds, local LLM checks, and GitHub packaging.</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start</w:t>
            </w:r>
          </w:p>
        </w:tc>
        <w:tc>
          <w:tcPr>
            <w:tcW w:type="dxa" w:w="6480"/>
          </w:tcPr>
          <w:p>
            <w:pPr>
              <w:spacing w:before="0" w:after="0" w:line="240" w:lineRule="auto"/>
            </w:pPr>
            <w:r>
              <w:rPr>
                <w:rFonts w:ascii="Calibri" w:hAnsi="Calibri"/>
                <w:b w:val="0"/>
                <w:i w:val="0"/>
                <w:color w:val="112133"/>
                <w:sz w:val="21"/>
              </w:rPr>
              <w:t>node server.js</w:t>
            </w:r>
          </w:p>
        </w:tc>
      </w:tr>
      <w:tr>
        <w:tc>
          <w:tcPr>
            <w:tcW w:type="dxa" w:w="2880"/>
          </w:tcPr>
          <w:p>
            <w:pPr>
              <w:spacing w:before="0" w:after="0" w:line="240" w:lineRule="auto"/>
            </w:pPr>
            <w:r>
              <w:rPr>
                <w:rFonts w:ascii="Calibri" w:hAnsi="Calibri"/>
                <w:b w:val="0"/>
                <w:i w:val="0"/>
                <w:color w:val="112133"/>
                <w:sz w:val="21"/>
              </w:rPr>
              <w:t>check</w:t>
            </w:r>
          </w:p>
        </w:tc>
        <w:tc>
          <w:tcPr>
            <w:tcW w:type="dxa" w:w="6480"/>
          </w:tcPr>
          <w:p>
            <w:pPr>
              <w:spacing w:before="0" w:after="0" w:line="240" w:lineRule="auto"/>
            </w:pPr>
            <w:r>
              <w:rPr>
                <w:rFonts w:ascii="Calibri" w:hAnsi="Calibri"/>
                <w:b w:val="0"/>
                <w:i w:val="0"/>
                <w:color w:val="112133"/>
                <w:sz w:val="21"/>
              </w:rPr>
              <w:t>node --check server.js &amp;&amp; node --check src/healthEngine.js &amp;&amp; node --check src/memoryStore.js &amp;&amp; node --check src/recordStore.js &amp;&amp; node --check src/knowledgeGraphStore.js &amp;&amp; node --check src/localDataMirror.js &amp;&amp; node --check src/trainingEngine.js &amp;&amp; node --check src/offlineMedicalDatabase.js &amp;&amp; node --check src/offlineKnowledgeEnrichment.js &amp;&amp; node --check src/localAiEngine.js &amp;&amp; node --check src/hybridModelRouter.js &amp;&amp; node --check src/agenticRuntime.js &amp;&amp; node --check src/externalKnowledgeStore.js &amp;&amp; node --check src/medicineLookupStore.js &amp;&amp; node --check src/productIntelligence.js &amp;&amp; node --check src/advancedCapabilityEngine.js &amp;&amp; node --check public/app.js &amp;&amp; node --check public/sw.js &amp;&amp; node --check scripts/smoke-test.js &amp;&amp; node --check scripts/deployment-check.js &amp;&amp; node --check scripts/model-file-check.js &amp;&amp; node --check scripts/github-package-check.js &amp;&amp; node --check scripts/build-offline-repository.js &amp;&amp; node --check scripts/build-guide-streaming-assets.js &amp;&amp; node scripts/smoke-test.js</w:t>
            </w:r>
          </w:p>
        </w:tc>
      </w:tr>
      <w:tr>
        <w:tc>
          <w:tcPr>
            <w:tcW w:type="dxa" w:w="2880"/>
          </w:tcPr>
          <w:p>
            <w:pPr>
              <w:spacing w:before="0" w:after="0" w:line="240" w:lineRule="auto"/>
            </w:pPr>
            <w:r>
              <w:rPr>
                <w:rFonts w:ascii="Calibri" w:hAnsi="Calibri"/>
                <w:b w:val="0"/>
                <w:i w:val="0"/>
                <w:color w:val="112133"/>
                <w:sz w:val="21"/>
              </w:rPr>
              <w:t>test</w:t>
            </w:r>
          </w:p>
        </w:tc>
        <w:tc>
          <w:tcPr>
            <w:tcW w:type="dxa" w:w="6480"/>
          </w:tcPr>
          <w:p>
            <w:pPr>
              <w:spacing w:before="0" w:after="0" w:line="240" w:lineRule="auto"/>
            </w:pPr>
            <w:r>
              <w:rPr>
                <w:rFonts w:ascii="Calibri" w:hAnsi="Calibri"/>
                <w:b w:val="0"/>
                <w:i w:val="0"/>
                <w:color w:val="112133"/>
                <w:sz w:val="21"/>
              </w:rPr>
              <w:t>node scripts/smoke-test.js</w:t>
            </w:r>
          </w:p>
        </w:tc>
      </w:tr>
      <w:tr>
        <w:tc>
          <w:tcPr>
            <w:tcW w:type="dxa" w:w="2880"/>
          </w:tcPr>
          <w:p>
            <w:pPr>
              <w:spacing w:before="0" w:after="0" w:line="240" w:lineRule="auto"/>
            </w:pPr>
            <w:r>
              <w:rPr>
                <w:rFonts w:ascii="Calibri" w:hAnsi="Calibri"/>
                <w:b w:val="0"/>
                <w:i w:val="0"/>
                <w:color w:val="112133"/>
                <w:sz w:val="21"/>
              </w:rPr>
              <w:t>llm:check</w:t>
            </w:r>
          </w:p>
        </w:tc>
        <w:tc>
          <w:tcPr>
            <w:tcW w:type="dxa" w:w="6480"/>
          </w:tcPr>
          <w:p>
            <w:pPr>
              <w:spacing w:before="0" w:after="0" w:line="240" w:lineRule="auto"/>
            </w:pPr>
            <w:r>
              <w:rPr>
                <w:rFonts w:ascii="Calibri" w:hAnsi="Calibri"/>
                <w:b w:val="0"/>
                <w:i w:val="0"/>
                <w:color w:val="112133"/>
                <w:sz w:val="21"/>
              </w:rPr>
              <w:t>node scripts/local-llm-runtime-check.js</w:t>
            </w:r>
          </w:p>
        </w:tc>
      </w:tr>
      <w:tr>
        <w:tc>
          <w:tcPr>
            <w:tcW w:type="dxa" w:w="2880"/>
          </w:tcPr>
          <w:p>
            <w:pPr>
              <w:spacing w:before="0" w:after="0" w:line="240" w:lineRule="auto"/>
            </w:pPr>
            <w:r>
              <w:rPr>
                <w:rFonts w:ascii="Calibri" w:hAnsi="Calibri"/>
                <w:b w:val="0"/>
                <w:i w:val="0"/>
                <w:color w:val="112133"/>
                <w:sz w:val="21"/>
              </w:rPr>
              <w:t>offline:build</w:t>
            </w:r>
          </w:p>
        </w:tc>
        <w:tc>
          <w:tcPr>
            <w:tcW w:type="dxa" w:w="6480"/>
          </w:tcPr>
          <w:p>
            <w:pPr>
              <w:spacing w:before="0" w:after="0" w:line="240" w:lineRule="auto"/>
            </w:pPr>
            <w:r>
              <w:rPr>
                <w:rFonts w:ascii="Calibri" w:hAnsi="Calibri"/>
                <w:b w:val="0"/>
                <w:i w:val="0"/>
                <w:color w:val="112133"/>
                <w:sz w:val="21"/>
              </w:rPr>
              <w:t>node scripts/build-offline-repository.js</w:t>
            </w:r>
          </w:p>
        </w:tc>
      </w:tr>
      <w:tr>
        <w:tc>
          <w:tcPr>
            <w:tcW w:type="dxa" w:w="2880"/>
          </w:tcPr>
          <w:p>
            <w:pPr>
              <w:spacing w:before="0" w:after="0" w:line="240" w:lineRule="auto"/>
            </w:pPr>
            <w:r>
              <w:rPr>
                <w:rFonts w:ascii="Calibri" w:hAnsi="Calibri"/>
                <w:b w:val="0"/>
                <w:i w:val="0"/>
                <w:color w:val="112133"/>
                <w:sz w:val="21"/>
              </w:rPr>
              <w:t>deploy:check</w:t>
            </w:r>
          </w:p>
        </w:tc>
        <w:tc>
          <w:tcPr>
            <w:tcW w:type="dxa" w:w="6480"/>
          </w:tcPr>
          <w:p>
            <w:pPr>
              <w:spacing w:before="0" w:after="0" w:line="240" w:lineRule="auto"/>
            </w:pPr>
            <w:r>
              <w:rPr>
                <w:rFonts w:ascii="Calibri" w:hAnsi="Calibri"/>
                <w:b w:val="0"/>
                <w:i w:val="0"/>
                <w:color w:val="112133"/>
                <w:sz w:val="21"/>
              </w:rPr>
              <w:t>node scripts/deployment-check.js</w:t>
            </w:r>
          </w:p>
        </w:tc>
      </w:tr>
      <w:tr>
        <w:tc>
          <w:tcPr>
            <w:tcW w:type="dxa" w:w="2880"/>
          </w:tcPr>
          <w:p>
            <w:pPr>
              <w:spacing w:before="0" w:after="0" w:line="240" w:lineRule="auto"/>
            </w:pPr>
            <w:r>
              <w:rPr>
                <w:rFonts w:ascii="Calibri" w:hAnsi="Calibri"/>
                <w:b w:val="0"/>
                <w:i w:val="0"/>
                <w:color w:val="112133"/>
                <w:sz w:val="21"/>
              </w:rPr>
              <w:t>release:check</w:t>
            </w:r>
          </w:p>
        </w:tc>
        <w:tc>
          <w:tcPr>
            <w:tcW w:type="dxa" w:w="6480"/>
          </w:tcPr>
          <w:p>
            <w:pPr>
              <w:spacing w:before="0" w:after="0" w:line="240" w:lineRule="auto"/>
            </w:pPr>
            <w:r>
              <w:rPr>
                <w:rFonts w:ascii="Calibri" w:hAnsi="Calibri"/>
                <w:b w:val="0"/>
                <w:i w:val="0"/>
                <w:color w:val="112133"/>
                <w:sz w:val="21"/>
              </w:rPr>
              <w:t>node scripts/github-package-check.js &amp;&amp; node --check server.js &amp;&amp; node --check src/healthEngine.js &amp;&amp; node --check src/memoryStore.js &amp;&amp; node --check src/recordStore.js &amp;&amp; node --check src/knowledgeGraphStore.js &amp;&amp; node --check src/localDataMirror.js &amp;&amp; node --check src/trainingEngine.js &amp;&amp; node --check src/offlineMedicalDatabase.js &amp;&amp; node --check src/offlineKnowledgeEnrichment.js &amp;&amp; node --check src/localAiEngine.js &amp;&amp; node --check src/hybridModelRouter.js &amp;&amp; node --check src/agenticRuntime.js &amp;&amp; node --check src/externalKnowledgeStore.js &amp;&amp; node --check src/medicineLookupStore.js &amp;&amp; node --check src/productIntelligence.js &amp;&amp; node --check src/advancedCapabilityEngine.js &amp;&amp; node --check public/app.js &amp;&amp; node --check public/sw.js &amp;&amp; node --check scripts/smoke-test.js &amp;&amp; node --check scripts/deployment-check.js &amp;&amp; node --check scripts/model-file-check.js &amp;&amp; node --check scripts/github-package-check.js &amp;&amp; node --check scripts/build-github-standalone.js &amp;&amp; node --check scripts/build-offline-repository.js &amp;&amp; node --check scripts/build-guide-streaming-assets.js &amp;&amp; node scripts/smoke-test.js &amp;&amp; node scripts/deployment-check.js &amp;&amp; node scripts/model-file-check.js</w:t>
            </w:r>
          </w:p>
        </w:tc>
      </w:tr>
    </w:tbl>
    <w:p/>
    <w:p>
      <w:pPr>
        <w:pStyle w:val="ListBullet"/>
        <w:spacing w:before="0" w:after="80" w:line="276" w:lineRule="auto"/>
      </w:pPr>
      <w:r>
        <w:rPr>
          <w:rFonts w:ascii="Calibri" w:hAnsi="Calibri"/>
          <w:b w:val="0"/>
          <w:i w:val="0"/>
          <w:color w:val="112133"/>
          <w:sz w:val="22"/>
        </w:rPr>
        <w:t>scripts/smoke-test.js exercises representative healthcare cases and validates route, risk, runtime, and retrieval behavior.</w:t>
      </w:r>
    </w:p>
    <w:p>
      <w:pPr>
        <w:pStyle w:val="ListBullet"/>
        <w:spacing w:before="0" w:after="80" w:line="276" w:lineRule="auto"/>
      </w:pPr>
      <w:r>
        <w:rPr>
          <w:rFonts w:ascii="Calibri" w:hAnsi="Calibri"/>
          <w:b w:val="0"/>
          <w:i w:val="0"/>
          <w:color w:val="112133"/>
          <w:sz w:val="22"/>
        </w:rPr>
        <w:t>scripts/deployment-check.js stands up a temporary server and verifies health endpoints, readiness, router state, persistence status, and deployment-related invariants.</w:t>
      </w:r>
    </w:p>
    <w:p>
      <w:pPr>
        <w:pStyle w:val="ListBullet"/>
        <w:spacing w:before="0" w:after="80" w:line="276" w:lineRule="auto"/>
      </w:pPr>
      <w:r>
        <w:rPr>
          <w:rFonts w:ascii="Calibri" w:hAnsi="Calibri"/>
          <w:b w:val="0"/>
          <w:i w:val="0"/>
          <w:color w:val="112133"/>
          <w:sz w:val="22"/>
        </w:rPr>
        <w:t>scripts/model-file-check.js validates that key source, UI, and data files are present.</w:t>
      </w:r>
    </w:p>
    <w:p>
      <w:pPr>
        <w:pStyle w:val="ListBullet"/>
        <w:spacing w:before="0" w:after="80" w:line="276" w:lineRule="auto"/>
      </w:pPr>
      <w:r>
        <w:rPr>
          <w:rFonts w:ascii="Calibri" w:hAnsi="Calibri"/>
          <w:b w:val="0"/>
          <w:i w:val="0"/>
          <w:color w:val="112133"/>
          <w:sz w:val="22"/>
        </w:rPr>
        <w:t>scripts/build-github-standalone.js and the github-ready-care-nova-ai folder package a static-friendly variant, but the richest local behavior still depends on the Node backend.</w:t>
      </w:r>
    </w:p>
    <w:p>
      <w:pPr>
        <w:spacing w:before="320" w:after="160" w:line="264" w:lineRule="auto"/>
      </w:pPr>
      <w:r>
        <w:rPr>
          <w:rFonts w:ascii="Calibri" w:hAnsi="Calibri"/>
          <w:b/>
          <w:i w:val="0"/>
          <w:color w:val="2E74B5"/>
          <w:sz w:val="32"/>
        </w:rPr>
        <w:t>14. Practical Strengths and Real Constraints</w:t>
      </w:r>
    </w:p>
    <w:tbl>
      <w:tblPr>
        <w:tblStyle w:val="TableGrid"/>
        <w:tblW w:type="auto" w:w="0"/>
        <w:tblLayout w:type="fixed"/>
        <w:tblLook w:firstColumn="1" w:firstRow="1" w:lastColumn="0" w:lastRow="0" w:noHBand="0" w:noVBand="1" w:val="04A0"/>
      </w:tblPr>
      <w:tblGrid>
        <w:gridCol w:w="1656"/>
        <w:gridCol w:w="3528"/>
        <w:gridCol w:w="4176"/>
      </w:tblGrid>
      <w:tr>
        <w:trPr>
          <w:tblHeader w:val="true"/>
        </w:trPr>
        <w:tc>
          <w:tcPr>
            <w:tcW w:type="dxa" w:w="1656"/>
            <w:tcMar>
              <w:top w:w="90" w:type="dxa"/>
              <w:start w:w="120" w:type="dxa"/>
              <w:bottom w:w="90" w:type="dxa"/>
              <w:end w:w="120" w:type="dxa"/>
            </w:tcMar>
            <w:shd w:fill="F3F6FA"/>
          </w:tcPr>
          <w:p>
            <w:pPr>
              <w:spacing w:before="0" w:after="0" w:line="240" w:lineRule="auto"/>
            </w:pPr>
            <w:r>
              <w:rPr>
                <w:rFonts w:ascii="Calibri" w:hAnsi="Calibri"/>
                <w:b/>
                <w:i w:val="0"/>
                <w:color w:val="576779"/>
                <w:sz w:val="20"/>
              </w:rPr>
              <w:t>Area</w:t>
            </w:r>
          </w:p>
        </w:tc>
        <w:tc>
          <w:tcPr>
            <w:tcW w:type="dxa" w:w="3528"/>
            <w:tcMar>
              <w:top w:w="90" w:type="dxa"/>
              <w:start w:w="120" w:type="dxa"/>
              <w:bottom w:w="90" w:type="dxa"/>
              <w:end w:w="120" w:type="dxa"/>
            </w:tcMar>
            <w:shd w:fill="F3F6FA"/>
          </w:tcPr>
          <w:p>
            <w:pPr>
              <w:spacing w:before="0" w:after="0" w:line="240" w:lineRule="auto"/>
            </w:pPr>
            <w:r>
              <w:rPr>
                <w:rFonts w:ascii="Calibri" w:hAnsi="Calibri"/>
                <w:b/>
                <w:i w:val="0"/>
                <w:color w:val="576779"/>
                <w:sz w:val="20"/>
              </w:rPr>
              <w:t>Strength</w:t>
            </w:r>
          </w:p>
        </w:tc>
        <w:tc>
          <w:tcPr>
            <w:tcW w:type="dxa" w:w="4176"/>
            <w:tcMar>
              <w:top w:w="90" w:type="dxa"/>
              <w:start w:w="120" w:type="dxa"/>
              <w:bottom w:w="90" w:type="dxa"/>
              <w:end w:w="120" w:type="dxa"/>
            </w:tcMar>
            <w:shd w:fill="F3F6FA"/>
          </w:tcPr>
          <w:p>
            <w:pPr>
              <w:spacing w:before="0" w:after="0" w:line="240" w:lineRule="auto"/>
            </w:pPr>
            <w:r>
              <w:rPr>
                <w:rFonts w:ascii="Calibri" w:hAnsi="Calibri"/>
                <w:b/>
                <w:i w:val="0"/>
                <w:color w:val="576779"/>
                <w:sz w:val="20"/>
              </w:rPr>
              <w:t>Constraint / truth-in-advertising note</w:t>
            </w:r>
          </w:p>
        </w:tc>
      </w:tr>
      <w:tr>
        <w:tc>
          <w:tcPr>
            <w:tcW w:type="dxa" w:w="1656"/>
          </w:tcPr>
          <w:p>
            <w:pPr>
              <w:spacing w:before="0" w:after="0" w:line="240" w:lineRule="auto"/>
            </w:pPr>
            <w:r>
              <w:rPr>
                <w:rFonts w:ascii="Calibri" w:hAnsi="Calibri"/>
                <w:b w:val="0"/>
                <w:i w:val="0"/>
                <w:color w:val="112133"/>
                <w:sz w:val="20"/>
              </w:rPr>
              <w:t>Routing</w:t>
            </w:r>
          </w:p>
        </w:tc>
        <w:tc>
          <w:tcPr>
            <w:tcW w:type="dxa" w:w="3528"/>
          </w:tcPr>
          <w:p>
            <w:pPr>
              <w:spacing w:before="0" w:after="0" w:line="240" w:lineRule="auto"/>
            </w:pPr>
            <w:r>
              <w:rPr>
                <w:rFonts w:ascii="Calibri" w:hAnsi="Calibri"/>
                <w:b w:val="0"/>
                <w:i w:val="0"/>
                <w:color w:val="112133"/>
                <w:sz w:val="20"/>
              </w:rPr>
              <w:t>Clear route ownership and specialist separation reduce generic chatbot drift.</w:t>
            </w:r>
          </w:p>
        </w:tc>
        <w:tc>
          <w:tcPr>
            <w:tcW w:type="dxa" w:w="4176"/>
          </w:tcPr>
          <w:p>
            <w:pPr>
              <w:spacing w:before="0" w:after="0" w:line="240" w:lineRule="auto"/>
            </w:pPr>
            <w:r>
              <w:rPr>
                <w:rFonts w:ascii="Calibri" w:hAnsi="Calibri"/>
                <w:b w:val="0"/>
                <w:i w:val="0"/>
                <w:color w:val="112133"/>
                <w:sz w:val="20"/>
              </w:rPr>
              <w:t>Classification quality still depends on prompt clarity and route cues in the user input.</w:t>
            </w:r>
          </w:p>
        </w:tc>
      </w:tr>
      <w:tr>
        <w:tc>
          <w:tcPr>
            <w:tcW w:type="dxa" w:w="1656"/>
          </w:tcPr>
          <w:p>
            <w:pPr>
              <w:spacing w:before="0" w:after="0" w:line="240" w:lineRule="auto"/>
            </w:pPr>
            <w:r>
              <w:rPr>
                <w:rFonts w:ascii="Calibri" w:hAnsi="Calibri"/>
                <w:b w:val="0"/>
                <w:i w:val="0"/>
                <w:color w:val="112133"/>
                <w:sz w:val="20"/>
              </w:rPr>
              <w:t>Offline operation</w:t>
            </w:r>
          </w:p>
        </w:tc>
        <w:tc>
          <w:tcPr>
            <w:tcW w:type="dxa" w:w="3528"/>
          </w:tcPr>
          <w:p>
            <w:pPr>
              <w:spacing w:before="0" w:after="0" w:line="240" w:lineRule="auto"/>
            </w:pPr>
            <w:r>
              <w:rPr>
                <w:rFonts w:ascii="Calibri" w:hAnsi="Calibri"/>
                <w:b w:val="0"/>
                <w:i w:val="0"/>
                <w:color w:val="112133"/>
                <w:sz w:val="20"/>
              </w:rPr>
              <w:t>Core analysis, persistence, retrieval, and guardrails all work without internet.</w:t>
            </w:r>
          </w:p>
        </w:tc>
        <w:tc>
          <w:tcPr>
            <w:tcW w:type="dxa" w:w="4176"/>
          </w:tcPr>
          <w:p>
            <w:pPr>
              <w:spacing w:before="0" w:after="0" w:line="240" w:lineRule="auto"/>
            </w:pPr>
            <w:r>
              <w:rPr>
                <w:rFonts w:ascii="Calibri" w:hAnsi="Calibri"/>
                <w:b w:val="0"/>
                <w:i w:val="0"/>
                <w:color w:val="112133"/>
                <w:sz w:val="20"/>
              </w:rPr>
              <w:t>Offline knowledge is bounded by the curated repository present on disk.</w:t>
            </w:r>
          </w:p>
        </w:tc>
      </w:tr>
      <w:tr>
        <w:tc>
          <w:tcPr>
            <w:tcW w:type="dxa" w:w="1656"/>
          </w:tcPr>
          <w:p>
            <w:pPr>
              <w:spacing w:before="0" w:after="0" w:line="240" w:lineRule="auto"/>
            </w:pPr>
            <w:r>
              <w:rPr>
                <w:rFonts w:ascii="Calibri" w:hAnsi="Calibri"/>
                <w:b w:val="0"/>
                <w:i w:val="0"/>
                <w:color w:val="112133"/>
                <w:sz w:val="20"/>
              </w:rPr>
              <w:t>LLM integration</w:t>
            </w:r>
          </w:p>
        </w:tc>
        <w:tc>
          <w:tcPr>
            <w:tcW w:type="dxa" w:w="3528"/>
          </w:tcPr>
          <w:p>
            <w:pPr>
              <w:spacing w:before="0" w:after="0" w:line="240" w:lineRule="auto"/>
            </w:pPr>
            <w:r>
              <w:rPr>
                <w:rFonts w:ascii="Calibri" w:hAnsi="Calibri"/>
                <w:b w:val="0"/>
                <w:i w:val="0"/>
                <w:color w:val="112133"/>
                <w:sz w:val="20"/>
              </w:rPr>
              <w:t>Supports local open-source models and optional cloud paths without making them mandatory.</w:t>
            </w:r>
          </w:p>
        </w:tc>
        <w:tc>
          <w:tcPr>
            <w:tcW w:type="dxa" w:w="4176"/>
          </w:tcPr>
          <w:p>
            <w:pPr>
              <w:spacing w:before="0" w:after="0" w:line="240" w:lineRule="auto"/>
            </w:pPr>
            <w:r>
              <w:rPr>
                <w:rFonts w:ascii="Calibri" w:hAnsi="Calibri"/>
                <w:b w:val="0"/>
                <w:i w:val="0"/>
                <w:color w:val="112133"/>
                <w:sz w:val="20"/>
              </w:rPr>
              <w:t>Configured model endpoints must actually be reachable and loaded; otherwise the system falls back.</w:t>
            </w:r>
          </w:p>
        </w:tc>
      </w:tr>
      <w:tr>
        <w:tc>
          <w:tcPr>
            <w:tcW w:type="dxa" w:w="1656"/>
          </w:tcPr>
          <w:p>
            <w:pPr>
              <w:spacing w:before="0" w:after="0" w:line="240" w:lineRule="auto"/>
            </w:pPr>
            <w:r>
              <w:rPr>
                <w:rFonts w:ascii="Calibri" w:hAnsi="Calibri"/>
                <w:b w:val="0"/>
                <w:i w:val="0"/>
                <w:color w:val="112133"/>
                <w:sz w:val="20"/>
              </w:rPr>
              <w:t>Persistence</w:t>
            </w:r>
          </w:p>
        </w:tc>
        <w:tc>
          <w:tcPr>
            <w:tcW w:type="dxa" w:w="3528"/>
          </w:tcPr>
          <w:p>
            <w:pPr>
              <w:spacing w:before="0" w:after="0" w:line="240" w:lineRule="auto"/>
            </w:pPr>
            <w:r>
              <w:rPr>
                <w:rFonts w:ascii="Calibri" w:hAnsi="Calibri"/>
                <w:b w:val="0"/>
                <w:i w:val="0"/>
                <w:color w:val="112133"/>
                <w:sz w:val="20"/>
              </w:rPr>
              <w:t>Memory, records, graph, and mirror support create strong longitudinal context.</w:t>
            </w:r>
          </w:p>
        </w:tc>
        <w:tc>
          <w:tcPr>
            <w:tcW w:type="dxa" w:w="4176"/>
          </w:tcPr>
          <w:p>
            <w:pPr>
              <w:spacing w:before="0" w:after="0" w:line="240" w:lineRule="auto"/>
            </w:pPr>
            <w:r>
              <w:rPr>
                <w:rFonts w:ascii="Calibri" w:hAnsi="Calibri"/>
                <w:b w:val="0"/>
                <w:i w:val="0"/>
                <w:color w:val="112133"/>
                <w:sz w:val="20"/>
              </w:rPr>
              <w:t>Static-only deployments cannot reproduce the full local server persistence model by themselves.</w:t>
            </w:r>
          </w:p>
        </w:tc>
      </w:tr>
      <w:tr>
        <w:tc>
          <w:tcPr>
            <w:tcW w:type="dxa" w:w="1656"/>
          </w:tcPr>
          <w:p>
            <w:pPr>
              <w:spacing w:before="0" w:after="0" w:line="240" w:lineRule="auto"/>
            </w:pPr>
            <w:r>
              <w:rPr>
                <w:rFonts w:ascii="Calibri" w:hAnsi="Calibri"/>
                <w:b w:val="0"/>
                <w:i w:val="0"/>
                <w:color w:val="112133"/>
                <w:sz w:val="20"/>
              </w:rPr>
              <w:t>Training</w:t>
            </w:r>
          </w:p>
        </w:tc>
        <w:tc>
          <w:tcPr>
            <w:tcW w:type="dxa" w:w="3528"/>
          </w:tcPr>
          <w:p>
            <w:pPr>
              <w:spacing w:before="0" w:after="0" w:line="240" w:lineRule="auto"/>
            </w:pPr>
            <w:r>
              <w:rPr>
                <w:rFonts w:ascii="Calibri" w:hAnsi="Calibri"/>
                <w:b w:val="0"/>
                <w:i w:val="0"/>
                <w:color w:val="112133"/>
                <w:sz w:val="20"/>
              </w:rPr>
              <w:t>Approved-example calibration can improve route fit over time.</w:t>
            </w:r>
          </w:p>
        </w:tc>
        <w:tc>
          <w:tcPr>
            <w:tcW w:type="dxa" w:w="4176"/>
          </w:tcPr>
          <w:p>
            <w:pPr>
              <w:spacing w:before="0" w:after="0" w:line="240" w:lineRule="auto"/>
            </w:pPr>
            <w:r>
              <w:rPr>
                <w:rFonts w:ascii="Calibri" w:hAnsi="Calibri"/>
                <w:b w:val="0"/>
                <w:i w:val="0"/>
                <w:color w:val="112133"/>
                <w:sz w:val="20"/>
              </w:rPr>
              <w:t>This is calibration logic, not a full medical deep-learning pipeline or autonomous medical fact learning.</w:t>
            </w:r>
          </w:p>
        </w:tc>
      </w:tr>
    </w:tbl>
    <w:p/>
    <w:p>
      <w:pPr>
        <w:spacing w:before="320" w:after="160" w:line="264" w:lineRule="auto"/>
      </w:pPr>
      <w:r>
        <w:rPr>
          <w:rFonts w:ascii="Calibri" w:hAnsi="Calibri"/>
          <w:b/>
          <w:i w:val="0"/>
          <w:color w:val="2E74B5"/>
          <w:sz w:val="32"/>
        </w:rPr>
        <w:t>15. How to Extend the Model Safely</w:t>
      </w:r>
    </w:p>
    <w:p>
      <w:pPr>
        <w:pStyle w:val="ListNumber"/>
        <w:spacing w:before="0" w:after="80" w:line="276" w:lineRule="auto"/>
      </w:pPr>
      <w:r>
        <w:rPr>
          <w:rFonts w:ascii="Calibri" w:hAnsi="Calibri"/>
          <w:b w:val="0"/>
          <w:i w:val="0"/>
          <w:color w:val="112133"/>
          <w:sz w:val="22"/>
        </w:rPr>
        <w:t>Add or update curated offline knowledge in data/offline-source-packs/, then rebuild the repository with scripts/build-offline-repository.js.</w:t>
      </w:r>
    </w:p>
    <w:p>
      <w:pPr>
        <w:pStyle w:val="ListNumber"/>
        <w:spacing w:before="0" w:after="80" w:line="276" w:lineRule="auto"/>
      </w:pPr>
      <w:r>
        <w:rPr>
          <w:rFonts w:ascii="Calibri" w:hAnsi="Calibri"/>
          <w:b w:val="0"/>
          <w:i w:val="0"/>
          <w:color w:val="112133"/>
          <w:sz w:val="22"/>
        </w:rPr>
        <w:t>Introduce a new specialist route by adding route classification signals, execution-plan support, a runner function in src/healthEngine.js, UI routing labels, and smoke-test coverage.</w:t>
      </w:r>
    </w:p>
    <w:p>
      <w:pPr>
        <w:pStyle w:val="ListNumber"/>
        <w:spacing w:before="0" w:after="80" w:line="276" w:lineRule="auto"/>
      </w:pPr>
      <w:r>
        <w:rPr>
          <w:rFonts w:ascii="Calibri" w:hAnsi="Calibri"/>
          <w:b w:val="0"/>
          <w:i w:val="0"/>
          <w:color w:val="112133"/>
          <w:sz w:val="22"/>
        </w:rPr>
        <w:t>If an LLM should refine that route, add a route boundary and schema support to src/specialistLlmGateway.js or src/localReasoningGateway.js.</w:t>
      </w:r>
    </w:p>
    <w:p>
      <w:pPr>
        <w:pStyle w:val="ListNumber"/>
        <w:spacing w:before="0" w:after="80" w:line="276" w:lineRule="auto"/>
      </w:pPr>
      <w:r>
        <w:rPr>
          <w:rFonts w:ascii="Calibri" w:hAnsi="Calibri"/>
          <w:b w:val="0"/>
          <w:i w:val="0"/>
          <w:color w:val="112133"/>
          <w:sz w:val="22"/>
        </w:rPr>
        <w:t>Update server endpoints only when a new capability truly needs an API surface, and keep persistence local by default.</w:t>
      </w:r>
    </w:p>
    <w:p>
      <w:pPr>
        <w:pStyle w:val="ListNumber"/>
        <w:spacing w:before="0" w:after="80" w:line="276" w:lineRule="auto"/>
      </w:pPr>
      <w:r>
        <w:rPr>
          <w:rFonts w:ascii="Calibri" w:hAnsi="Calibri"/>
          <w:b w:val="0"/>
          <w:i w:val="0"/>
          <w:color w:val="112133"/>
          <w:sz w:val="22"/>
        </w:rPr>
        <w:t>Add deployment or runtime flags to .env.example only when they can be backed by a safe fallback path.</w:t>
      </w:r>
    </w:p>
    <w:p>
      <w:pPr>
        <w:spacing w:before="320" w:after="160" w:line="264" w:lineRule="auto"/>
      </w:pPr>
      <w:r>
        <w:rPr>
          <w:rFonts w:ascii="Calibri" w:hAnsi="Calibri"/>
          <w:b/>
          <w:i w:val="0"/>
          <w:color w:val="2E74B5"/>
          <w:sz w:val="32"/>
        </w:rPr>
        <w:t>16. Key Source Files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server.js</w:t>
            </w:r>
          </w:p>
        </w:tc>
        <w:tc>
          <w:tcPr>
            <w:tcW w:type="dxa" w:w="6480"/>
          </w:tcPr>
          <w:p>
            <w:pPr>
              <w:spacing w:before="0" w:after="0" w:line="240" w:lineRule="auto"/>
            </w:pPr>
            <w:r>
              <w:rPr>
                <w:rFonts w:ascii="Calibri" w:hAnsi="Calibri"/>
                <w:b w:val="0"/>
                <w:i w:val="0"/>
                <w:color w:val="112133"/>
                <w:sz w:val="21"/>
              </w:rPr>
              <w:t>HTTP entrypoint, API surface, health/readiness endpoints, persistence orchestration, and post-processing.</w:t>
            </w:r>
          </w:p>
        </w:tc>
      </w:tr>
      <w:tr>
        <w:tc>
          <w:tcPr>
            <w:tcW w:type="dxa" w:w="2880"/>
          </w:tcPr>
          <w:p>
            <w:pPr>
              <w:spacing w:before="0" w:after="0" w:line="240" w:lineRule="auto"/>
            </w:pPr>
            <w:r>
              <w:rPr>
                <w:rFonts w:ascii="Calibri" w:hAnsi="Calibri"/>
                <w:b w:val="0"/>
                <w:i w:val="0"/>
                <w:color w:val="112133"/>
                <w:sz w:val="21"/>
              </w:rPr>
              <w:t>src/healthEngine.js</w:t>
            </w:r>
          </w:p>
        </w:tc>
        <w:tc>
          <w:tcPr>
            <w:tcW w:type="dxa" w:w="6480"/>
          </w:tcPr>
          <w:p>
            <w:pPr>
              <w:spacing w:before="0" w:after="0" w:line="240" w:lineRule="auto"/>
            </w:pPr>
            <w:r>
              <w:rPr>
                <w:rFonts w:ascii="Calibri" w:hAnsi="Calibri"/>
                <w:b w:val="0"/>
                <w:i w:val="0"/>
                <w:color w:val="112133"/>
                <w:sz w:val="21"/>
              </w:rPr>
              <w:t>Main healthcare workflow engine and the most important file in the repository.</w:t>
            </w:r>
          </w:p>
        </w:tc>
      </w:tr>
      <w:tr>
        <w:tc>
          <w:tcPr>
            <w:tcW w:type="dxa" w:w="2880"/>
          </w:tcPr>
          <w:p>
            <w:pPr>
              <w:spacing w:before="0" w:after="0" w:line="240" w:lineRule="auto"/>
            </w:pPr>
            <w:r>
              <w:rPr>
                <w:rFonts w:ascii="Calibri" w:hAnsi="Calibri"/>
                <w:b w:val="0"/>
                <w:i w:val="0"/>
                <w:color w:val="112133"/>
                <w:sz w:val="21"/>
              </w:rPr>
              <w:t>src/localAiEngine.js</w:t>
            </w:r>
          </w:p>
        </w:tc>
        <w:tc>
          <w:tcPr>
            <w:tcW w:type="dxa" w:w="6480"/>
          </w:tcPr>
          <w:p>
            <w:pPr>
              <w:spacing w:before="0" w:after="0" w:line="240" w:lineRule="auto"/>
            </w:pPr>
            <w:r>
              <w:rPr>
                <w:rFonts w:ascii="Calibri" w:hAnsi="Calibri"/>
                <w:b w:val="0"/>
                <w:i w:val="0"/>
                <w:color w:val="112133"/>
                <w:sz w:val="21"/>
              </w:rPr>
              <w:t>Offline ranking and evidence scoring logic.</w:t>
            </w:r>
          </w:p>
        </w:tc>
      </w:tr>
      <w:tr>
        <w:tc>
          <w:tcPr>
            <w:tcW w:type="dxa" w:w="2880"/>
          </w:tcPr>
          <w:p>
            <w:pPr>
              <w:spacing w:before="0" w:after="0" w:line="240" w:lineRule="auto"/>
            </w:pPr>
            <w:r>
              <w:rPr>
                <w:rFonts w:ascii="Calibri" w:hAnsi="Calibri"/>
                <w:b w:val="0"/>
                <w:i w:val="0"/>
                <w:color w:val="112133"/>
                <w:sz w:val="21"/>
              </w:rPr>
              <w:t>src/hybridModelRouter.js</w:t>
            </w:r>
          </w:p>
        </w:tc>
        <w:tc>
          <w:tcPr>
            <w:tcW w:type="dxa" w:w="6480"/>
          </w:tcPr>
          <w:p>
            <w:pPr>
              <w:spacing w:before="0" w:after="0" w:line="240" w:lineRule="auto"/>
            </w:pPr>
            <w:r>
              <w:rPr>
                <w:rFonts w:ascii="Calibri" w:hAnsi="Calibri"/>
                <w:b w:val="0"/>
                <w:i w:val="0"/>
                <w:color w:val="112133"/>
                <w:sz w:val="21"/>
              </w:rPr>
              <w:t>Route-aware local/cloud model selection and failover chain builder.</w:t>
            </w:r>
          </w:p>
        </w:tc>
      </w:tr>
      <w:tr>
        <w:tc>
          <w:tcPr>
            <w:tcW w:type="dxa" w:w="2880"/>
          </w:tcPr>
          <w:p>
            <w:pPr>
              <w:spacing w:before="0" w:after="0" w:line="240" w:lineRule="auto"/>
            </w:pPr>
            <w:r>
              <w:rPr>
                <w:rFonts w:ascii="Calibri" w:hAnsi="Calibri"/>
                <w:b w:val="0"/>
                <w:i w:val="0"/>
                <w:color w:val="112133"/>
                <w:sz w:val="21"/>
              </w:rPr>
              <w:t>src/openSourceLocalRuntime.js</w:t>
            </w:r>
          </w:p>
        </w:tc>
        <w:tc>
          <w:tcPr>
            <w:tcW w:type="dxa" w:w="6480"/>
          </w:tcPr>
          <w:p>
            <w:pPr>
              <w:spacing w:before="0" w:after="0" w:line="240" w:lineRule="auto"/>
            </w:pPr>
            <w:r>
              <w:rPr>
                <w:rFonts w:ascii="Calibri" w:hAnsi="Calibri"/>
                <w:b w:val="0"/>
                <w:i w:val="0"/>
                <w:color w:val="112133"/>
                <w:sz w:val="21"/>
              </w:rPr>
              <w:t>Local runtime discovery and endpoint probing for Ollama/LM Studio style adapters.</w:t>
            </w:r>
          </w:p>
        </w:tc>
      </w:tr>
      <w:tr>
        <w:tc>
          <w:tcPr>
            <w:tcW w:type="dxa" w:w="2880"/>
          </w:tcPr>
          <w:p>
            <w:pPr>
              <w:spacing w:before="0" w:after="0" w:line="240" w:lineRule="auto"/>
            </w:pPr>
            <w:r>
              <w:rPr>
                <w:rFonts w:ascii="Calibri" w:hAnsi="Calibri"/>
                <w:b w:val="0"/>
                <w:i w:val="0"/>
                <w:color w:val="112133"/>
                <w:sz w:val="21"/>
              </w:rPr>
              <w:t>src/localReasoningGateway.js</w:t>
            </w:r>
          </w:p>
        </w:tc>
        <w:tc>
          <w:tcPr>
            <w:tcW w:type="dxa" w:w="6480"/>
          </w:tcPr>
          <w:p>
            <w:pPr>
              <w:spacing w:before="0" w:after="0" w:line="240" w:lineRule="auto"/>
            </w:pPr>
            <w:r>
              <w:rPr>
                <w:rFonts w:ascii="Calibri" w:hAnsi="Calibri"/>
                <w:b w:val="0"/>
                <w:i w:val="0"/>
                <w:color w:val="112133"/>
                <w:sz w:val="21"/>
              </w:rPr>
              <w:t>Optional open-source local second-pass reasoning on the final result.</w:t>
            </w:r>
          </w:p>
        </w:tc>
      </w:tr>
      <w:tr>
        <w:tc>
          <w:tcPr>
            <w:tcW w:type="dxa" w:w="2880"/>
          </w:tcPr>
          <w:p>
            <w:pPr>
              <w:spacing w:before="0" w:after="0" w:line="240" w:lineRule="auto"/>
            </w:pPr>
            <w:r>
              <w:rPr>
                <w:rFonts w:ascii="Calibri" w:hAnsi="Calibri"/>
                <w:b w:val="0"/>
                <w:i w:val="0"/>
                <w:color w:val="112133"/>
                <w:sz w:val="21"/>
              </w:rPr>
              <w:t>src/specialistLlmGateway.js</w:t>
            </w:r>
          </w:p>
        </w:tc>
        <w:tc>
          <w:tcPr>
            <w:tcW w:type="dxa" w:w="6480"/>
          </w:tcPr>
          <w:p>
            <w:pPr>
              <w:spacing w:before="0" w:after="0" w:line="240" w:lineRule="auto"/>
            </w:pPr>
            <w:r>
              <w:rPr>
                <w:rFonts w:ascii="Calibri" w:hAnsi="Calibri"/>
                <w:b w:val="0"/>
                <w:i w:val="0"/>
                <w:color w:val="112133"/>
                <w:sz w:val="21"/>
              </w:rPr>
              <w:t>Optional route-level specialist output refinement.</w:t>
            </w:r>
          </w:p>
        </w:tc>
      </w:tr>
      <w:tr>
        <w:tc>
          <w:tcPr>
            <w:tcW w:type="dxa" w:w="2880"/>
          </w:tcPr>
          <w:p>
            <w:pPr>
              <w:spacing w:before="0" w:after="0" w:line="240" w:lineRule="auto"/>
            </w:pPr>
            <w:r>
              <w:rPr>
                <w:rFonts w:ascii="Calibri" w:hAnsi="Calibri"/>
                <w:b w:val="0"/>
                <w:i w:val="0"/>
                <w:color w:val="112133"/>
                <w:sz w:val="21"/>
              </w:rPr>
              <w:t>src/memoryStore.js</w:t>
            </w:r>
          </w:p>
        </w:tc>
        <w:tc>
          <w:tcPr>
            <w:tcW w:type="dxa" w:w="6480"/>
          </w:tcPr>
          <w:p>
            <w:pPr>
              <w:spacing w:before="0" w:after="0" w:line="240" w:lineRule="auto"/>
            </w:pPr>
            <w:r>
              <w:rPr>
                <w:rFonts w:ascii="Calibri" w:hAnsi="Calibri"/>
                <w:b w:val="0"/>
                <w:i w:val="0"/>
                <w:color w:val="112133"/>
                <w:sz w:val="21"/>
              </w:rPr>
              <w:t>Persistent patient conversation memory.</w:t>
            </w:r>
          </w:p>
        </w:tc>
      </w:tr>
      <w:tr>
        <w:tc>
          <w:tcPr>
            <w:tcW w:type="dxa" w:w="2880"/>
          </w:tcPr>
          <w:p>
            <w:pPr>
              <w:spacing w:before="0" w:after="0" w:line="240" w:lineRule="auto"/>
            </w:pPr>
            <w:r>
              <w:rPr>
                <w:rFonts w:ascii="Calibri" w:hAnsi="Calibri"/>
                <w:b w:val="0"/>
                <w:i w:val="0"/>
                <w:color w:val="112133"/>
                <w:sz w:val="21"/>
              </w:rPr>
              <w:t>src/recordStore.js</w:t>
            </w:r>
          </w:p>
        </w:tc>
        <w:tc>
          <w:tcPr>
            <w:tcW w:type="dxa" w:w="6480"/>
          </w:tcPr>
          <w:p>
            <w:pPr>
              <w:spacing w:before="0" w:after="0" w:line="240" w:lineRule="auto"/>
            </w:pPr>
            <w:r>
              <w:rPr>
                <w:rFonts w:ascii="Calibri" w:hAnsi="Calibri"/>
                <w:b w:val="0"/>
                <w:i w:val="0"/>
                <w:color w:val="112133"/>
                <w:sz w:val="21"/>
              </w:rPr>
              <w:t>Persistent patient records.</w:t>
            </w:r>
          </w:p>
        </w:tc>
      </w:tr>
      <w:tr>
        <w:tc>
          <w:tcPr>
            <w:tcW w:type="dxa" w:w="2880"/>
          </w:tcPr>
          <w:p>
            <w:pPr>
              <w:spacing w:before="0" w:after="0" w:line="240" w:lineRule="auto"/>
            </w:pPr>
            <w:r>
              <w:rPr>
                <w:rFonts w:ascii="Calibri" w:hAnsi="Calibri"/>
                <w:b w:val="0"/>
                <w:i w:val="0"/>
                <w:color w:val="112133"/>
                <w:sz w:val="21"/>
              </w:rPr>
              <w:t>src/knowledgeGraphStore.js</w:t>
            </w:r>
          </w:p>
        </w:tc>
        <w:tc>
          <w:tcPr>
            <w:tcW w:type="dxa" w:w="6480"/>
          </w:tcPr>
          <w:p>
            <w:pPr>
              <w:spacing w:before="0" w:after="0" w:line="240" w:lineRule="auto"/>
            </w:pPr>
            <w:r>
              <w:rPr>
                <w:rFonts w:ascii="Calibri" w:hAnsi="Calibri"/>
                <w:b w:val="0"/>
                <w:i w:val="0"/>
                <w:color w:val="112133"/>
                <w:sz w:val="21"/>
              </w:rPr>
              <w:t>Persistent structured patient knowledge graph with sharding support.</w:t>
            </w:r>
          </w:p>
        </w:tc>
      </w:tr>
      <w:tr>
        <w:tc>
          <w:tcPr>
            <w:tcW w:type="dxa" w:w="2880"/>
          </w:tcPr>
          <w:p>
            <w:pPr>
              <w:spacing w:before="0" w:after="0" w:line="240" w:lineRule="auto"/>
            </w:pPr>
            <w:r>
              <w:rPr>
                <w:rFonts w:ascii="Calibri" w:hAnsi="Calibri"/>
                <w:b w:val="0"/>
                <w:i w:val="0"/>
                <w:color w:val="112133"/>
                <w:sz w:val="21"/>
              </w:rPr>
              <w:t>src/trainingEngine.js</w:t>
            </w:r>
          </w:p>
        </w:tc>
        <w:tc>
          <w:tcPr>
            <w:tcW w:type="dxa" w:w="6480"/>
          </w:tcPr>
          <w:p>
            <w:pPr>
              <w:spacing w:before="0" w:after="0" w:line="240" w:lineRule="auto"/>
            </w:pPr>
            <w:r>
              <w:rPr>
                <w:rFonts w:ascii="Calibri" w:hAnsi="Calibri"/>
                <w:b w:val="0"/>
                <w:i w:val="0"/>
                <w:color w:val="112133"/>
                <w:sz w:val="21"/>
              </w:rPr>
              <w:t>Local feedback example store and route-calibration logic.</w:t>
            </w:r>
          </w:p>
        </w:tc>
      </w:tr>
      <w:tr>
        <w:tc>
          <w:tcPr>
            <w:tcW w:type="dxa" w:w="2880"/>
          </w:tcPr>
          <w:p>
            <w:pPr>
              <w:spacing w:before="0" w:after="0" w:line="240" w:lineRule="auto"/>
            </w:pPr>
            <w:r>
              <w:rPr>
                <w:rFonts w:ascii="Calibri" w:hAnsi="Calibri"/>
                <w:b w:val="0"/>
                <w:i w:val="0"/>
                <w:color w:val="112133"/>
                <w:sz w:val="21"/>
              </w:rPr>
              <w:t>public/app.js</w:t>
            </w:r>
          </w:p>
        </w:tc>
        <w:tc>
          <w:tcPr>
            <w:tcW w:type="dxa" w:w="6480"/>
          </w:tcPr>
          <w:p>
            <w:pPr>
              <w:spacing w:before="0" w:after="0" w:line="240" w:lineRule="auto"/>
            </w:pPr>
            <w:r>
              <w:rPr>
                <w:rFonts w:ascii="Calibri" w:hAnsi="Calibri"/>
                <w:b w:val="0"/>
                <w:i w:val="0"/>
                <w:color w:val="112133"/>
                <w:sz w:val="21"/>
              </w:rPr>
              <w:t>Frontend controller for tabs, theme, language, guide, results, and API calls.</w:t>
            </w:r>
          </w:p>
        </w:tc>
      </w:tr>
      <w:tr>
        <w:tc>
          <w:tcPr>
            <w:tcW w:type="dxa" w:w="2880"/>
          </w:tcPr>
          <w:p>
            <w:pPr>
              <w:spacing w:before="0" w:after="0" w:line="240" w:lineRule="auto"/>
            </w:pPr>
            <w:r>
              <w:rPr>
                <w:rFonts w:ascii="Calibri" w:hAnsi="Calibri"/>
                <w:b w:val="0"/>
                <w:i w:val="0"/>
                <w:color w:val="112133"/>
                <w:sz w:val="21"/>
              </w:rPr>
              <w:t>scripts/build-offline-repository.js</w:t>
            </w:r>
          </w:p>
        </w:tc>
        <w:tc>
          <w:tcPr>
            <w:tcW w:type="dxa" w:w="6480"/>
          </w:tcPr>
          <w:p>
            <w:pPr>
              <w:spacing w:before="0" w:after="0" w:line="240" w:lineRule="auto"/>
            </w:pPr>
            <w:r>
              <w:rPr>
                <w:rFonts w:ascii="Calibri" w:hAnsi="Calibri"/>
                <w:b w:val="0"/>
                <w:i w:val="0"/>
                <w:color w:val="112133"/>
                <w:sz w:val="21"/>
              </w:rPr>
              <w:t>Offline repository and index builder.</w:t>
            </w:r>
          </w:p>
        </w:tc>
      </w:tr>
      <w:tr>
        <w:tc>
          <w:tcPr>
            <w:tcW w:type="dxa" w:w="2880"/>
          </w:tcPr>
          <w:p>
            <w:pPr>
              <w:spacing w:before="0" w:after="0" w:line="240" w:lineRule="auto"/>
            </w:pPr>
            <w:r>
              <w:rPr>
                <w:rFonts w:ascii="Calibri" w:hAnsi="Calibri"/>
                <w:b w:val="0"/>
                <w:i w:val="0"/>
                <w:color w:val="112133"/>
                <w:sz w:val="21"/>
              </w:rPr>
              <w:t>scripts/smoke-test.js</w:t>
            </w:r>
          </w:p>
        </w:tc>
        <w:tc>
          <w:tcPr>
            <w:tcW w:type="dxa" w:w="6480"/>
          </w:tcPr>
          <w:p>
            <w:pPr>
              <w:spacing w:before="0" w:after="0" w:line="240" w:lineRule="auto"/>
            </w:pPr>
            <w:r>
              <w:rPr>
                <w:rFonts w:ascii="Calibri" w:hAnsi="Calibri"/>
                <w:b w:val="0"/>
                <w:i w:val="0"/>
                <w:color w:val="112133"/>
                <w:sz w:val="21"/>
              </w:rPr>
              <w:t>Regression and scenario validation.</w:t>
            </w:r>
          </w:p>
        </w:tc>
      </w:tr>
      <w:tr>
        <w:tc>
          <w:tcPr>
            <w:tcW w:type="dxa" w:w="2880"/>
          </w:tcPr>
          <w:p>
            <w:pPr>
              <w:spacing w:before="0" w:after="0" w:line="240" w:lineRule="auto"/>
            </w:pPr>
            <w:r>
              <w:rPr>
                <w:rFonts w:ascii="Calibri" w:hAnsi="Calibri"/>
                <w:b w:val="0"/>
                <w:i w:val="0"/>
                <w:color w:val="112133"/>
                <w:sz w:val="21"/>
              </w:rPr>
              <w:t>scripts/deployment-check.js</w:t>
            </w:r>
          </w:p>
        </w:tc>
        <w:tc>
          <w:tcPr>
            <w:tcW w:type="dxa" w:w="6480"/>
          </w:tcPr>
          <w:p>
            <w:pPr>
              <w:spacing w:before="0" w:after="0" w:line="240" w:lineRule="auto"/>
            </w:pPr>
            <w:r>
              <w:rPr>
                <w:rFonts w:ascii="Calibri" w:hAnsi="Calibri"/>
                <w:b w:val="0"/>
                <w:i w:val="0"/>
                <w:color w:val="112133"/>
                <w:sz w:val="21"/>
              </w:rPr>
              <w:t>Deployment readiness validation.</w:t>
            </w:r>
          </w:p>
        </w:tc>
      </w:tr>
    </w:tbl>
    <w:p/>
    <w:p>
      <w:pPr>
        <w:spacing w:before="320" w:after="160" w:line="264" w:lineRule="auto"/>
      </w:pPr>
      <w:r>
        <w:rPr>
          <w:rFonts w:ascii="Calibri" w:hAnsi="Calibri"/>
          <w:b/>
          <w:i w:val="0"/>
          <w:color w:val="2E74B5"/>
          <w:sz w:val="32"/>
        </w:rPr>
        <w:t>17. Bottom Line</w:t>
      </w:r>
    </w:p>
    <w:p>
      <w:pPr>
        <w:spacing w:before="0" w:after="120" w:line="276" w:lineRule="auto"/>
      </w:pPr>
      <w:r>
        <w:rPr>
          <w:rFonts w:ascii="Calibri" w:hAnsi="Calibri"/>
          <w:b w:val="0"/>
          <w:i w:val="0"/>
          <w:color w:val="112133"/>
          <w:sz w:val="22"/>
        </w:rPr>
        <w:t>Care Nova AI is best understood as a local-first healthcare operating model built out of specialized software layers. Its core strength is not that one single model 'knows everything'; its strength is that it structures input, uses explicit route control, grounds answers in local evidence, preserves context over time, and only then allows optional model-assisted refinement. That architecture is why the project can support many tabs, offline behavior, local privacy, and safer response shaping in one workspace.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b w:val="0"/>
        <w:i w:val="0"/>
        <w:color w:val="6B727A"/>
        <w:sz w:val="18"/>
      </w:rPr>
      <w:t>Prepared from repository artifacts on July 8, 2026 20:15 India Standard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B727A"/>
        <w:sz w:val="19"/>
      </w:rPr>
      <w:t>Care Nova AI | Documentation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