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518A" w:rsidRDefault="004B4A53">
      <w:pPr>
        <w:spacing w:after="80"/>
        <w:jc w:val="center"/>
      </w:pPr>
      <w:r>
        <w:rPr>
          <w:b/>
          <w:color w:val="0F6E56"/>
          <w:sz w:val="36"/>
        </w:rPr>
        <w:t>Introduction to Data Science</w:t>
      </w:r>
    </w:p>
    <w:p w:rsidR="00DB518A" w:rsidRDefault="004B4A53">
      <w:pPr>
        <w:spacing w:after="40"/>
        <w:jc w:val="center"/>
      </w:pPr>
      <w:r>
        <w:rPr>
          <w:b/>
          <w:color w:val="534AB7"/>
          <w:sz w:val="26"/>
        </w:rPr>
        <w:t>Semester Project — Full Guidelines</w:t>
      </w:r>
    </w:p>
    <w:p w:rsidR="00DB518A" w:rsidRDefault="004B4A53">
      <w:pPr>
        <w:spacing w:after="320"/>
        <w:jc w:val="center"/>
      </w:pPr>
      <w:r>
        <w:rPr>
          <w:i/>
          <w:color w:val="5F5E5A"/>
          <w:sz w:val="18"/>
        </w:rPr>
        <w:t>Covers the Complete Data Science Life Cycle  |  R Markdown Implementation  |  Group + Individual Assessment</w:t>
      </w:r>
    </w:p>
    <w:p w:rsidR="00DB518A" w:rsidRDefault="00DB518A">
      <w:pPr>
        <w:pBdr>
          <w:bottom w:val="single" w:sz="8" w:space="1" w:color="0F6E56"/>
        </w:pBdr>
      </w:pPr>
    </w:p>
    <w:p w:rsidR="00DB518A" w:rsidRDefault="004B4A53">
      <w:pPr>
        <w:spacing w:before="120" w:after="80"/>
        <w:jc w:val="center"/>
      </w:pPr>
      <w:r>
        <w:rPr>
          <w:b/>
          <w:color w:val="2C2C2A"/>
        </w:rPr>
        <w:t>Project Life Cycle — Phase Overview</w:t>
      </w:r>
    </w:p>
    <w:tbl>
      <w:tblPr>
        <w:tblStyle w:val="TableGrid"/>
        <w:tblW w:w="0" w:type="auto"/>
        <w:tblLook w:val="04A0" w:firstRow="1" w:lastRow="0" w:firstColumn="1" w:lastColumn="0" w:noHBand="0" w:noVBand="1"/>
      </w:tblPr>
      <w:tblGrid>
        <w:gridCol w:w="4640"/>
        <w:gridCol w:w="4648"/>
      </w:tblGrid>
      <w:tr w:rsidR="00DB518A">
        <w:tc>
          <w:tcPr>
            <w:tcW w:w="4824" w:type="dxa"/>
            <w:tcBorders>
              <w:top w:val="single" w:sz="4" w:space="0" w:color="0F6E56"/>
              <w:left w:val="single" w:sz="4" w:space="0" w:color="0F6E56"/>
              <w:bottom w:val="single" w:sz="4" w:space="0" w:color="0F6E56"/>
              <w:right w:val="single" w:sz="4" w:space="0" w:color="0F6E56"/>
            </w:tcBorders>
            <w:shd w:val="clear" w:color="auto" w:fill="0F6E56"/>
          </w:tcPr>
          <w:p w:rsidR="00DB518A" w:rsidRDefault="004B4A53">
            <w:pPr>
              <w:spacing w:before="100" w:after="100"/>
              <w:jc w:val="center"/>
            </w:pPr>
            <w:r>
              <w:rPr>
                <w:b/>
                <w:color w:val="FFFFFF"/>
              </w:rPr>
              <w:t>Phase 1 — Midterm</w:t>
            </w:r>
            <w:r>
              <w:rPr>
                <w:b/>
                <w:color w:val="FFFFFF"/>
              </w:rPr>
              <w:br/>
            </w:r>
            <w:r>
              <w:rPr>
                <w:color w:val="FFFFFF"/>
                <w:sz w:val="17"/>
              </w:rPr>
              <w:t>Upstream stages  |  Deadline: 18 July 2026</w:t>
            </w:r>
          </w:p>
        </w:tc>
        <w:tc>
          <w:tcPr>
            <w:tcW w:w="4824" w:type="dxa"/>
            <w:tcBorders>
              <w:top w:val="single" w:sz="4" w:space="0" w:color="534AB7"/>
              <w:left w:val="single" w:sz="4" w:space="0" w:color="534AB7"/>
              <w:bottom w:val="single" w:sz="4" w:space="0" w:color="534AB7"/>
              <w:right w:val="single" w:sz="4" w:space="0" w:color="534AB7"/>
            </w:tcBorders>
            <w:shd w:val="clear" w:color="auto" w:fill="534AB7"/>
          </w:tcPr>
          <w:p w:rsidR="00DB518A" w:rsidRDefault="004B4A53">
            <w:pPr>
              <w:spacing w:before="100" w:after="100"/>
              <w:jc w:val="center"/>
            </w:pPr>
            <w:r>
              <w:rPr>
                <w:b/>
                <w:color w:val="FFFFFF"/>
              </w:rPr>
              <w:t>Phase 2 — Final</w:t>
            </w:r>
            <w:r>
              <w:rPr>
                <w:b/>
                <w:color w:val="FFFFFF"/>
              </w:rPr>
              <w:br/>
            </w:r>
            <w:r>
              <w:rPr>
                <w:color w:val="FFFFFF"/>
                <w:sz w:val="17"/>
              </w:rPr>
              <w:t>Downstream stages  |  Deadline: 29 August 2026</w:t>
            </w:r>
          </w:p>
        </w:tc>
      </w:tr>
      <w:tr w:rsidR="00DB518A">
        <w:tc>
          <w:tcPr>
            <w:tcW w:w="4824" w:type="dxa"/>
            <w:tcBorders>
              <w:top w:val="single" w:sz="4" w:space="0" w:color="C5C5C5"/>
              <w:left w:val="single" w:sz="4" w:space="0" w:color="C5C5C5"/>
              <w:bottom w:val="single" w:sz="4" w:space="0" w:color="C5C5C5"/>
              <w:right w:val="single" w:sz="4" w:space="0" w:color="C5C5C5"/>
            </w:tcBorders>
            <w:shd w:val="clear" w:color="auto" w:fill="E1F5EE"/>
          </w:tcPr>
          <w:p w:rsidR="00DB518A" w:rsidRDefault="004B4A53">
            <w:pPr>
              <w:spacing w:before="80" w:after="80"/>
              <w:ind w:left="144"/>
            </w:pPr>
            <w:r>
              <w:rPr>
                <w:b/>
                <w:color w:val="0F6E56"/>
                <w:sz w:val="19"/>
              </w:rPr>
              <w:t>Section 1 — Problem framing</w:t>
            </w:r>
            <w:r>
              <w:rPr>
                <w:b/>
                <w:color w:val="0F6E56"/>
                <w:sz w:val="19"/>
              </w:rPr>
              <w:br/>
            </w:r>
            <w:r>
              <w:rPr>
                <w:color w:val="2C2C2A"/>
                <w:sz w:val="17"/>
              </w:rPr>
              <w:t>Domain context, research questions, KPIs</w:t>
            </w:r>
          </w:p>
        </w:tc>
        <w:tc>
          <w:tcPr>
            <w:tcW w:w="4824" w:type="dxa"/>
            <w:tcBorders>
              <w:top w:val="single" w:sz="4" w:space="0" w:color="C5C5C5"/>
              <w:left w:val="single" w:sz="4" w:space="0" w:color="C5C5C5"/>
              <w:bottom w:val="single" w:sz="4" w:space="0" w:color="C5C5C5"/>
              <w:right w:val="single" w:sz="4" w:space="0" w:color="C5C5C5"/>
            </w:tcBorders>
            <w:shd w:val="clear" w:color="auto" w:fill="EEEDFE"/>
          </w:tcPr>
          <w:p w:rsidR="00DB518A" w:rsidRDefault="004B4A53">
            <w:pPr>
              <w:spacing w:before="80" w:after="80"/>
              <w:ind w:left="144"/>
            </w:pPr>
            <w:r>
              <w:rPr>
                <w:b/>
                <w:color w:val="534AB7"/>
                <w:sz w:val="19"/>
              </w:rPr>
              <w:t>Section 5 — PCA</w:t>
            </w:r>
            <w:r>
              <w:rPr>
                <w:b/>
                <w:color w:val="534AB7"/>
                <w:sz w:val="19"/>
              </w:rPr>
              <w:br/>
            </w:r>
            <w:r>
              <w:rPr>
                <w:color w:val="2C2C2A"/>
                <w:sz w:val="17"/>
              </w:rPr>
              <w:t>Dimensionality reduction, scree plot, biplot</w:t>
            </w:r>
          </w:p>
        </w:tc>
      </w:tr>
      <w:tr w:rsidR="00DB518A">
        <w:tc>
          <w:tcPr>
            <w:tcW w:w="4824" w:type="dxa"/>
            <w:tcBorders>
              <w:top w:val="single" w:sz="4" w:space="0" w:color="C5C5C5"/>
              <w:left w:val="single" w:sz="4" w:space="0" w:color="C5C5C5"/>
              <w:bottom w:val="single" w:sz="4" w:space="0" w:color="C5C5C5"/>
              <w:right w:val="single" w:sz="4" w:space="0" w:color="C5C5C5"/>
            </w:tcBorders>
            <w:shd w:val="clear" w:color="auto" w:fill="E1F5EE"/>
          </w:tcPr>
          <w:p w:rsidR="00DB518A" w:rsidRDefault="004B4A53">
            <w:pPr>
              <w:spacing w:before="80" w:after="80"/>
              <w:ind w:left="144"/>
            </w:pPr>
            <w:r>
              <w:rPr>
                <w:b/>
                <w:color w:val="0F6E56"/>
                <w:sz w:val="19"/>
              </w:rPr>
              <w:t>Section 2 — Data acquisition</w:t>
            </w:r>
            <w:r>
              <w:rPr>
                <w:b/>
                <w:color w:val="0F6E56"/>
                <w:sz w:val="19"/>
              </w:rPr>
              <w:br/>
            </w:r>
            <w:r>
              <w:rPr>
                <w:color w:val="2C2C2A"/>
                <w:sz w:val="17"/>
              </w:rPr>
              <w:t>Load from URL, inspect, document provenance</w:t>
            </w:r>
          </w:p>
        </w:tc>
        <w:tc>
          <w:tcPr>
            <w:tcW w:w="4824" w:type="dxa"/>
            <w:tcBorders>
              <w:top w:val="single" w:sz="4" w:space="0" w:color="C5C5C5"/>
              <w:left w:val="single" w:sz="4" w:space="0" w:color="C5C5C5"/>
              <w:bottom w:val="single" w:sz="4" w:space="0" w:color="C5C5C5"/>
              <w:right w:val="single" w:sz="4" w:space="0" w:color="C5C5C5"/>
            </w:tcBorders>
            <w:shd w:val="clear" w:color="auto" w:fill="EEEDFE"/>
          </w:tcPr>
          <w:p w:rsidR="00DB518A" w:rsidRDefault="004B4A53">
            <w:pPr>
              <w:spacing w:before="80" w:after="80"/>
              <w:ind w:left="144"/>
            </w:pPr>
            <w:r>
              <w:rPr>
                <w:b/>
                <w:color w:val="534AB7"/>
                <w:sz w:val="19"/>
              </w:rPr>
              <w:t>Section 6 — Modelling</w:t>
            </w:r>
            <w:r>
              <w:rPr>
                <w:b/>
                <w:color w:val="534AB7"/>
                <w:sz w:val="19"/>
              </w:rPr>
              <w:br/>
            </w:r>
            <w:r>
              <w:rPr>
                <w:color w:val="2C2C2A"/>
                <w:sz w:val="17"/>
              </w:rPr>
              <w:t>Baseline + improved model, cross-validation</w:t>
            </w:r>
          </w:p>
        </w:tc>
      </w:tr>
      <w:tr w:rsidR="00DB518A">
        <w:tc>
          <w:tcPr>
            <w:tcW w:w="4824" w:type="dxa"/>
            <w:tcBorders>
              <w:top w:val="single" w:sz="4" w:space="0" w:color="C5C5C5"/>
              <w:left w:val="single" w:sz="4" w:space="0" w:color="C5C5C5"/>
              <w:bottom w:val="single" w:sz="4" w:space="0" w:color="C5C5C5"/>
              <w:right w:val="single" w:sz="4" w:space="0" w:color="C5C5C5"/>
            </w:tcBorders>
            <w:shd w:val="clear" w:color="auto" w:fill="E1F5EE"/>
          </w:tcPr>
          <w:p w:rsidR="00DB518A" w:rsidRDefault="004B4A53">
            <w:pPr>
              <w:spacing w:before="80" w:after="80"/>
              <w:ind w:left="144"/>
            </w:pPr>
            <w:r>
              <w:rPr>
                <w:b/>
                <w:color w:val="0F6E56"/>
                <w:sz w:val="19"/>
              </w:rPr>
              <w:t>Section 3 — Exploratory data analysis</w:t>
            </w:r>
            <w:r>
              <w:rPr>
                <w:b/>
                <w:color w:val="0F6E56"/>
                <w:sz w:val="19"/>
              </w:rPr>
              <w:br/>
            </w:r>
            <w:r>
              <w:rPr>
                <w:color w:val="2C2C2A"/>
                <w:sz w:val="17"/>
              </w:rPr>
              <w:t>Distributions, skewness, correlations, visuals</w:t>
            </w:r>
          </w:p>
        </w:tc>
        <w:tc>
          <w:tcPr>
            <w:tcW w:w="4824" w:type="dxa"/>
            <w:tcBorders>
              <w:top w:val="single" w:sz="4" w:space="0" w:color="C5C5C5"/>
              <w:left w:val="single" w:sz="4" w:space="0" w:color="C5C5C5"/>
              <w:bottom w:val="single" w:sz="4" w:space="0" w:color="C5C5C5"/>
              <w:right w:val="single" w:sz="4" w:space="0" w:color="C5C5C5"/>
            </w:tcBorders>
            <w:shd w:val="clear" w:color="auto" w:fill="EEEDFE"/>
          </w:tcPr>
          <w:p w:rsidR="00DB518A" w:rsidRDefault="004B4A53">
            <w:pPr>
              <w:spacing w:before="80" w:after="80"/>
              <w:ind w:left="144"/>
            </w:pPr>
            <w:r>
              <w:rPr>
                <w:b/>
                <w:color w:val="534AB7"/>
                <w:sz w:val="19"/>
              </w:rPr>
              <w:t>Section 7 — Evaluation</w:t>
            </w:r>
            <w:r>
              <w:rPr>
                <w:b/>
                <w:color w:val="534AB7"/>
                <w:sz w:val="19"/>
              </w:rPr>
              <w:br/>
            </w:r>
            <w:r>
              <w:rPr>
                <w:color w:val="2C2C2A"/>
                <w:sz w:val="17"/>
              </w:rPr>
              <w:t>Metrics, comparison table, visualisation</w:t>
            </w:r>
          </w:p>
        </w:tc>
      </w:tr>
      <w:tr w:rsidR="00DB518A">
        <w:tc>
          <w:tcPr>
            <w:tcW w:w="4824" w:type="dxa"/>
            <w:tcBorders>
              <w:top w:val="single" w:sz="4" w:space="0" w:color="C5C5C5"/>
              <w:left w:val="single" w:sz="4" w:space="0" w:color="C5C5C5"/>
              <w:bottom w:val="single" w:sz="4" w:space="0" w:color="C5C5C5"/>
              <w:right w:val="single" w:sz="4" w:space="0" w:color="C5C5C5"/>
            </w:tcBorders>
            <w:shd w:val="clear" w:color="auto" w:fill="E1F5EE"/>
          </w:tcPr>
          <w:p w:rsidR="00DB518A" w:rsidRDefault="004B4A53">
            <w:pPr>
              <w:spacing w:before="80" w:after="80"/>
              <w:ind w:left="144"/>
            </w:pPr>
            <w:r>
              <w:rPr>
                <w:b/>
                <w:color w:val="0F6E56"/>
                <w:sz w:val="19"/>
              </w:rPr>
              <w:t>Section 4 — Preprocessing &amp; features</w:t>
            </w:r>
            <w:r>
              <w:rPr>
                <w:b/>
                <w:color w:val="0F6E56"/>
                <w:sz w:val="19"/>
              </w:rPr>
              <w:br/>
            </w:r>
            <w:r>
              <w:rPr>
                <w:color w:val="2C2C2A"/>
                <w:sz w:val="17"/>
              </w:rPr>
              <w:t>Cleaning, engineering, selection, transform</w:t>
            </w:r>
          </w:p>
        </w:tc>
        <w:tc>
          <w:tcPr>
            <w:tcW w:w="4824" w:type="dxa"/>
            <w:tcBorders>
              <w:top w:val="single" w:sz="4" w:space="0" w:color="C5C5C5"/>
              <w:left w:val="single" w:sz="4" w:space="0" w:color="C5C5C5"/>
              <w:bottom w:val="single" w:sz="4" w:space="0" w:color="C5C5C5"/>
              <w:right w:val="single" w:sz="4" w:space="0" w:color="C5C5C5"/>
            </w:tcBorders>
            <w:shd w:val="clear" w:color="auto" w:fill="EEEDFE"/>
          </w:tcPr>
          <w:p w:rsidR="00DB518A" w:rsidRDefault="004B4A53">
            <w:pPr>
              <w:spacing w:before="80" w:after="80"/>
              <w:ind w:left="144"/>
            </w:pPr>
            <w:r>
              <w:rPr>
                <w:b/>
                <w:color w:val="534AB7"/>
                <w:sz w:val="19"/>
              </w:rPr>
              <w:t>Section 8 — Communication &amp; reflection</w:t>
            </w:r>
            <w:r>
              <w:rPr>
                <w:b/>
                <w:color w:val="534AB7"/>
                <w:sz w:val="19"/>
              </w:rPr>
              <w:br/>
            </w:r>
            <w:r>
              <w:rPr>
                <w:color w:val="2C2C2A"/>
                <w:sz w:val="17"/>
              </w:rPr>
              <w:t>Executive summary, visuals, limitations</w:t>
            </w:r>
          </w:p>
        </w:tc>
      </w:tr>
      <w:tr w:rsidR="00DB518A">
        <w:tc>
          <w:tcPr>
            <w:tcW w:w="4824" w:type="dxa"/>
            <w:tcBorders>
              <w:top w:val="single" w:sz="4" w:space="0" w:color="0F6E56"/>
              <w:left w:val="single" w:sz="4" w:space="0" w:color="0F6E56"/>
              <w:bottom w:val="single" w:sz="4" w:space="0" w:color="0F6E56"/>
              <w:right w:val="single" w:sz="4" w:space="0" w:color="0F6E56"/>
            </w:tcBorders>
            <w:shd w:val="clear" w:color="auto" w:fill="0F6E56"/>
          </w:tcPr>
          <w:p w:rsidR="00DB518A" w:rsidRDefault="004B4A53">
            <w:pPr>
              <w:spacing w:before="80" w:after="80"/>
              <w:jc w:val="center"/>
            </w:pPr>
            <w:r>
              <w:rPr>
                <w:b/>
                <w:color w:val="FFFFFF"/>
                <w:sz w:val="18"/>
              </w:rPr>
              <w:t>Deliverable: SectionGroupNoMid.Rmd + .html</w:t>
            </w:r>
          </w:p>
        </w:tc>
        <w:tc>
          <w:tcPr>
            <w:tcW w:w="4824" w:type="dxa"/>
            <w:tcBorders>
              <w:top w:val="single" w:sz="4" w:space="0" w:color="534AB7"/>
              <w:left w:val="single" w:sz="4" w:space="0" w:color="534AB7"/>
              <w:bottom w:val="single" w:sz="4" w:space="0" w:color="534AB7"/>
              <w:right w:val="single" w:sz="4" w:space="0" w:color="534AB7"/>
            </w:tcBorders>
            <w:shd w:val="clear" w:color="auto" w:fill="534AB7"/>
          </w:tcPr>
          <w:p w:rsidR="00DB518A" w:rsidRDefault="004B4A53">
            <w:pPr>
              <w:spacing w:before="80" w:after="80"/>
              <w:jc w:val="center"/>
            </w:pPr>
            <w:r>
              <w:rPr>
                <w:b/>
                <w:color w:val="FFFFFF"/>
                <w:sz w:val="18"/>
              </w:rPr>
              <w:t>Deliverable: SectionGroupNoFinal.Rmd + .html</w:t>
            </w:r>
          </w:p>
        </w:tc>
      </w:tr>
    </w:tbl>
    <w:p w:rsidR="00DB518A" w:rsidRDefault="00DB518A">
      <w:pPr>
        <w:spacing w:after="120"/>
      </w:pPr>
    </w:p>
    <w:p w:rsidR="00DB518A" w:rsidRDefault="004B4A53">
      <w:pPr>
        <w:pBdr>
          <w:bottom w:val="single" w:sz="6" w:space="1" w:color="0F6E56"/>
        </w:pBdr>
        <w:spacing w:before="280" w:after="80"/>
      </w:pPr>
      <w:r>
        <w:rPr>
          <w:b/>
          <w:color w:val="0F6E56"/>
          <w:sz w:val="26"/>
        </w:rPr>
        <w:t>1. PROJECT OVERVIEW</w:t>
      </w:r>
    </w:p>
    <w:p w:rsidR="00DB518A" w:rsidRDefault="004B4A53">
      <w:pPr>
        <w:spacing w:before="20" w:after="80"/>
        <w:jc w:val="both"/>
      </w:pPr>
      <w:r>
        <w:rPr>
          <w:sz w:val="20"/>
        </w:rPr>
        <w:t>This semester project is designed to give students hands-on experience with every stage of the data science life cycle. The project runs across two phases — Midterm and Final — using a single, continuously evolving R Markdown document. Each phase builds directly on the previous one, culminating in a complete, reproducible data science report.</w:t>
      </w:r>
    </w:p>
    <w:p w:rsidR="00DB518A" w:rsidRDefault="004B4A53">
      <w:pPr>
        <w:spacing w:before="20" w:after="80"/>
        <w:jc w:val="both"/>
      </w:pPr>
      <w:r>
        <w:rPr>
          <w:sz w:val="20"/>
        </w:rPr>
        <w:t>Students work in groups. Each group submits one shared .Rmd file and one rendered .html file per phase. The group mark (30 marks per phase) is awarded for the quality of the submitted document. The individual mark (20 marks per phase) is awarded separately through a viva conducted for each student individually, assessing their understanding of the project implementation and their performance on related lab tasks.</w:t>
      </w:r>
    </w:p>
    <w:tbl>
      <w:tblPr>
        <w:tblStyle w:val="TableGrid"/>
        <w:tblW w:w="0" w:type="auto"/>
        <w:tblLook w:val="04A0" w:firstRow="1" w:lastRow="0" w:firstColumn="1" w:lastColumn="0" w:noHBand="0" w:noVBand="1"/>
      </w:tblPr>
      <w:tblGrid>
        <w:gridCol w:w="2437"/>
        <w:gridCol w:w="3410"/>
        <w:gridCol w:w="3441"/>
      </w:tblGrid>
      <w:tr w:rsidR="00DB518A">
        <w:tc>
          <w:tcPr>
            <w:tcW w:w="2592" w:type="dxa"/>
            <w:tcBorders>
              <w:top w:val="single" w:sz="4" w:space="0" w:color="C5C5C5"/>
              <w:left w:val="single" w:sz="4" w:space="0" w:color="C5C5C5"/>
              <w:bottom w:val="single" w:sz="4" w:space="0" w:color="C5C5C5"/>
              <w:right w:val="single" w:sz="4" w:space="0" w:color="C5C5C5"/>
            </w:tcBorders>
            <w:shd w:val="clear" w:color="auto" w:fill="E1F5EE"/>
          </w:tcPr>
          <w:p w:rsidR="00DB518A" w:rsidRDefault="00DB518A">
            <w:pPr>
              <w:jc w:val="center"/>
            </w:pPr>
          </w:p>
        </w:tc>
        <w:tc>
          <w:tcPr>
            <w:tcW w:w="3744" w:type="dxa"/>
            <w:tcBorders>
              <w:top w:val="single" w:sz="4" w:space="0" w:color="C5C5C5"/>
              <w:left w:val="single" w:sz="4" w:space="0" w:color="C5C5C5"/>
              <w:bottom w:val="single" w:sz="4" w:space="0" w:color="C5C5C5"/>
              <w:right w:val="single" w:sz="4" w:space="0" w:color="C5C5C5"/>
            </w:tcBorders>
            <w:shd w:val="clear" w:color="auto" w:fill="E1F5EE"/>
          </w:tcPr>
          <w:p w:rsidR="00DB518A" w:rsidRDefault="004B4A53">
            <w:pPr>
              <w:jc w:val="center"/>
            </w:pPr>
            <w:r>
              <w:rPr>
                <w:b/>
                <w:color w:val="0F6E56"/>
                <w:sz w:val="19"/>
              </w:rPr>
              <w:t>Phase 1 — Midterm</w:t>
            </w:r>
          </w:p>
        </w:tc>
        <w:tc>
          <w:tcPr>
            <w:tcW w:w="3744" w:type="dxa"/>
            <w:tcBorders>
              <w:top w:val="single" w:sz="4" w:space="0" w:color="C5C5C5"/>
              <w:left w:val="single" w:sz="4" w:space="0" w:color="C5C5C5"/>
              <w:bottom w:val="single" w:sz="4" w:space="0" w:color="C5C5C5"/>
              <w:right w:val="single" w:sz="4" w:space="0" w:color="C5C5C5"/>
            </w:tcBorders>
            <w:shd w:val="clear" w:color="auto" w:fill="E1F5EE"/>
          </w:tcPr>
          <w:p w:rsidR="00DB518A" w:rsidRDefault="004B4A53">
            <w:pPr>
              <w:jc w:val="center"/>
            </w:pPr>
            <w:r>
              <w:rPr>
                <w:b/>
                <w:color w:val="0F6E56"/>
                <w:sz w:val="19"/>
              </w:rPr>
              <w:t>Phase 2 — Final</w:t>
            </w:r>
          </w:p>
        </w:tc>
      </w:tr>
      <w:tr w:rsidR="00DB518A">
        <w:tc>
          <w:tcPr>
            <w:tcW w:w="2592"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b/>
                <w:color w:val="2C2C2A"/>
                <w:sz w:val="19"/>
              </w:rPr>
              <w:t>Deadline</w:t>
            </w:r>
          </w:p>
        </w:tc>
        <w:tc>
          <w:tcPr>
            <w:tcW w:w="3744"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18 July 2026  (see note below)</w:t>
            </w:r>
          </w:p>
        </w:tc>
        <w:tc>
          <w:tcPr>
            <w:tcW w:w="3744"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29 August 2026</w:t>
            </w:r>
          </w:p>
        </w:tc>
      </w:tr>
      <w:tr w:rsidR="00DB518A">
        <w:tc>
          <w:tcPr>
            <w:tcW w:w="2592"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b/>
                <w:color w:val="2C2C2A"/>
                <w:sz w:val="19"/>
              </w:rPr>
              <w:t>Focus</w:t>
            </w:r>
          </w:p>
        </w:tc>
        <w:tc>
          <w:tcPr>
            <w:tcW w:w="3744"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Upstream stages (data to features)</w:t>
            </w:r>
          </w:p>
        </w:tc>
        <w:tc>
          <w:tcPr>
            <w:tcW w:w="3744"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Downstream stages (models to insights)</w:t>
            </w:r>
          </w:p>
        </w:tc>
      </w:tr>
      <w:tr w:rsidR="00DB518A">
        <w:tc>
          <w:tcPr>
            <w:tcW w:w="2592"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b/>
                <w:color w:val="2C2C2A"/>
                <w:sz w:val="19"/>
              </w:rPr>
              <w:t>Group marks</w:t>
            </w:r>
          </w:p>
        </w:tc>
        <w:tc>
          <w:tcPr>
            <w:tcW w:w="3744"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30</w:t>
            </w:r>
          </w:p>
        </w:tc>
        <w:tc>
          <w:tcPr>
            <w:tcW w:w="3744"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30</w:t>
            </w:r>
          </w:p>
        </w:tc>
      </w:tr>
      <w:tr w:rsidR="00DB518A">
        <w:tc>
          <w:tcPr>
            <w:tcW w:w="2592"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b/>
                <w:color w:val="2C2C2A"/>
                <w:sz w:val="19"/>
              </w:rPr>
              <w:t>Individual marks</w:t>
            </w:r>
          </w:p>
        </w:tc>
        <w:tc>
          <w:tcPr>
            <w:tcW w:w="3744"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20</w:t>
            </w:r>
          </w:p>
        </w:tc>
        <w:tc>
          <w:tcPr>
            <w:tcW w:w="3744"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20</w:t>
            </w:r>
          </w:p>
        </w:tc>
      </w:tr>
      <w:tr w:rsidR="00DB518A">
        <w:tc>
          <w:tcPr>
            <w:tcW w:w="2592"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b/>
                <w:color w:val="2C2C2A"/>
                <w:sz w:val="19"/>
              </w:rPr>
              <w:t>Total</w:t>
            </w:r>
          </w:p>
        </w:tc>
        <w:tc>
          <w:tcPr>
            <w:tcW w:w="3744"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50</w:t>
            </w:r>
          </w:p>
        </w:tc>
        <w:tc>
          <w:tcPr>
            <w:tcW w:w="3744"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50</w:t>
            </w:r>
          </w:p>
        </w:tc>
      </w:tr>
      <w:tr w:rsidR="00DB518A">
        <w:tc>
          <w:tcPr>
            <w:tcW w:w="2592"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b/>
                <w:color w:val="2C2C2A"/>
                <w:sz w:val="19"/>
              </w:rPr>
              <w:t>Deliverables</w:t>
            </w:r>
          </w:p>
        </w:tc>
        <w:tc>
          <w:tcPr>
            <w:tcW w:w="3744"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One .Rmd + one .html per group</w:t>
            </w:r>
          </w:p>
        </w:tc>
        <w:tc>
          <w:tcPr>
            <w:tcW w:w="3744"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One .Rmd (extended) + one .html per group</w:t>
            </w:r>
          </w:p>
        </w:tc>
      </w:tr>
    </w:tbl>
    <w:p w:rsidR="00DB518A" w:rsidRDefault="00DB518A">
      <w:pPr>
        <w:spacing w:after="80"/>
      </w:pPr>
    </w:p>
    <w:p w:rsidR="00715E2B" w:rsidRDefault="00715E2B">
      <w:pPr>
        <w:spacing w:after="80"/>
      </w:pPr>
    </w:p>
    <w:p w:rsidR="00715E2B" w:rsidRDefault="00715E2B">
      <w:pPr>
        <w:spacing w:after="80"/>
      </w:pPr>
    </w:p>
    <w:p w:rsidR="00DB518A" w:rsidRDefault="004B4A53">
      <w:pPr>
        <w:pBdr>
          <w:bottom w:val="single" w:sz="6" w:space="1" w:color="0F6E56"/>
        </w:pBdr>
        <w:spacing w:before="280" w:after="80"/>
      </w:pPr>
      <w:r>
        <w:rPr>
          <w:b/>
          <w:color w:val="0F6E56"/>
          <w:sz w:val="26"/>
        </w:rPr>
        <w:lastRenderedPageBreak/>
        <w:t>2. DATASET SELECTION REQUIREMENTS</w:t>
      </w:r>
    </w:p>
    <w:p w:rsidR="00DB518A" w:rsidRDefault="004B4A53">
      <w:pPr>
        <w:spacing w:before="20" w:after="80"/>
        <w:jc w:val="both"/>
      </w:pPr>
      <w:r>
        <w:rPr>
          <w:sz w:val="20"/>
        </w:rPr>
        <w:t>Each group selects one real-world dataset from an approved public repository. The dataset must meet all of the following criteria:</w:t>
      </w:r>
    </w:p>
    <w:p w:rsidR="00DB518A" w:rsidRDefault="004B4A53">
      <w:pPr>
        <w:pStyle w:val="ListBullet"/>
        <w:spacing w:before="20" w:after="40"/>
      </w:pPr>
      <w:r>
        <w:rPr>
          <w:sz w:val="20"/>
        </w:rPr>
        <w:t>Minimum 500 rows and 8 variables</w:t>
      </w:r>
    </w:p>
    <w:p w:rsidR="00DB518A" w:rsidRDefault="004B4A53">
      <w:pPr>
        <w:pStyle w:val="ListBullet"/>
        <w:spacing w:before="20" w:after="40"/>
      </w:pPr>
      <w:r>
        <w:rPr>
          <w:sz w:val="20"/>
        </w:rPr>
        <w:t>A clearly definable target variable suitable for regression or classification</w:t>
      </w:r>
    </w:p>
    <w:p w:rsidR="00DB518A" w:rsidRDefault="004B4A53">
      <w:pPr>
        <w:pStyle w:val="ListBullet"/>
        <w:spacing w:before="20" w:after="40"/>
      </w:pPr>
      <w:r>
        <w:rPr>
          <w:sz w:val="20"/>
        </w:rPr>
        <w:t>A mix of numeric and categorical features</w:t>
      </w:r>
    </w:p>
    <w:p w:rsidR="00DB518A" w:rsidRDefault="004B4A53">
      <w:pPr>
        <w:pStyle w:val="ListBullet"/>
        <w:spacing w:before="20" w:after="40"/>
      </w:pPr>
      <w:r>
        <w:rPr>
          <w:sz w:val="20"/>
        </w:rPr>
        <w:t>Contains some messiness: missing values, outliers, or inconsistent encoding</w:t>
      </w:r>
    </w:p>
    <w:p w:rsidR="00DB518A" w:rsidRDefault="004B4A53">
      <w:pPr>
        <w:pStyle w:val="ListBullet"/>
        <w:spacing w:before="20" w:after="40"/>
      </w:pPr>
      <w:r>
        <w:rPr>
          <w:sz w:val="20"/>
        </w:rPr>
        <w:t>Publicly accessible via a direct URL (GitHub raw link, Google Drive, or an open repository such as UCI ML Repository, Kaggle, data.gov, WHO, or World Bank)</w:t>
      </w:r>
    </w:p>
    <w:p w:rsidR="00DB518A" w:rsidRDefault="004B4A53">
      <w:pPr>
        <w:pBdr>
          <w:left w:val="single" w:sz="12" w:space="4" w:color="534AB7"/>
        </w:pBdr>
        <w:shd w:val="clear" w:color="auto" w:fill="FAEEDA"/>
        <w:spacing w:before="80" w:after="120"/>
        <w:ind w:left="200"/>
        <w:jc w:val="both"/>
      </w:pPr>
      <w:r>
        <w:rPr>
          <w:i/>
          <w:sz w:val="19"/>
        </w:rPr>
        <w:t>Important: Students do NOT submit the dataset file. The data must be loaded directly inside the R Markdown document from a public URL using read.csv(), readr::read_csv(), or an equivalent function. The code must run without any modification on any machine.</w:t>
      </w:r>
    </w:p>
    <w:p w:rsidR="00DB518A" w:rsidRDefault="004B4A53">
      <w:pPr>
        <w:spacing w:before="20" w:after="80"/>
        <w:jc w:val="both"/>
      </w:pPr>
      <w:r>
        <w:rPr>
          <w:sz w:val="20"/>
        </w:rPr>
        <w:t>Each group submits a one-paragraph dataset justification for approval before work begins.</w:t>
      </w:r>
    </w:p>
    <w:p w:rsidR="00DB518A" w:rsidRDefault="004B4A53">
      <w:pPr>
        <w:pBdr>
          <w:bottom w:val="single" w:sz="6" w:space="1" w:color="0F6E56"/>
        </w:pBdr>
        <w:spacing w:before="280" w:after="80"/>
      </w:pPr>
      <w:r>
        <w:rPr>
          <w:b/>
          <w:color w:val="0F6E56"/>
          <w:sz w:val="26"/>
        </w:rPr>
        <w:t>3. TECHNICAL &amp; SUBMISSION REQUIREMENTS</w:t>
      </w:r>
    </w:p>
    <w:p w:rsidR="00DB518A" w:rsidRDefault="004B4A53">
      <w:pPr>
        <w:spacing w:before="200" w:after="40"/>
      </w:pPr>
      <w:r>
        <w:rPr>
          <w:b/>
          <w:color w:val="534AB7"/>
          <w:sz w:val="23"/>
        </w:rPr>
        <w:t>R Markdown Configuration</w:t>
      </w:r>
    </w:p>
    <w:p w:rsidR="00DB518A" w:rsidRDefault="004B4A53">
      <w:pPr>
        <w:spacing w:before="20" w:after="80"/>
        <w:jc w:val="both"/>
      </w:pPr>
      <w:r>
        <w:rPr>
          <w:sz w:val="20"/>
        </w:rPr>
        <w:t>The YAML front matter of the .Rmd file must include:</w:t>
      </w:r>
    </w:p>
    <w:p w:rsidR="00DB518A" w:rsidRDefault="004B4A53">
      <w:pPr>
        <w:pStyle w:val="ListBullet"/>
        <w:spacing w:before="20" w:after="40"/>
      </w:pPr>
      <w:r>
        <w:rPr>
          <w:sz w:val="20"/>
        </w:rPr>
        <w:t>output: html_document with toc: true, toc_float: true, and code_folding: hide</w:t>
      </w:r>
    </w:p>
    <w:p w:rsidR="00DB518A" w:rsidRDefault="004B4A53">
      <w:pPr>
        <w:pStyle w:val="ListBullet"/>
        <w:spacing w:before="20" w:after="40"/>
      </w:pPr>
      <w:r>
        <w:rPr>
          <w:sz w:val="20"/>
        </w:rPr>
        <w:t>A meaningful title, author (all group member names), and date field</w:t>
      </w:r>
    </w:p>
    <w:p w:rsidR="00DB518A" w:rsidRDefault="004B4A53">
      <w:pPr>
        <w:pStyle w:val="ListBullet"/>
        <w:spacing w:before="20" w:after="40"/>
      </w:pPr>
      <w:r>
        <w:rPr>
          <w:sz w:val="20"/>
        </w:rPr>
        <w:t>set.seed() declared immediately after the YAML block for full reproducibility</w:t>
      </w:r>
    </w:p>
    <w:p w:rsidR="00DB518A" w:rsidRDefault="004B4A53">
      <w:pPr>
        <w:spacing w:before="200" w:after="40"/>
      </w:pPr>
      <w:r>
        <w:rPr>
          <w:b/>
          <w:color w:val="534AB7"/>
          <w:sz w:val="23"/>
        </w:rPr>
        <w:t>Package Installation</w:t>
      </w:r>
    </w:p>
    <w:p w:rsidR="00DB518A" w:rsidRDefault="004B4A53">
      <w:pPr>
        <w:spacing w:before="20" w:after="80"/>
        <w:jc w:val="both"/>
      </w:pPr>
      <w:r>
        <w:rPr>
          <w:sz w:val="20"/>
        </w:rPr>
        <w:t>All required packages must be installed dynamically inside the document using the following pattern, so the document runs on any machine without manual setup:</w:t>
      </w:r>
    </w:p>
    <w:p w:rsidR="00DB518A" w:rsidRDefault="004B4A53">
      <w:pPr>
        <w:shd w:val="clear" w:color="auto" w:fill="F1EFE8"/>
        <w:spacing w:after="0"/>
        <w:ind w:left="432"/>
      </w:pPr>
      <w:r>
        <w:rPr>
          <w:rFonts w:ascii="Courier New" w:hAnsi="Courier New"/>
          <w:sz w:val="18"/>
        </w:rPr>
        <w:t>if (!require("tidyverse")) install.packages("tidyverse")</w:t>
      </w:r>
    </w:p>
    <w:p w:rsidR="00DB518A" w:rsidRDefault="004B4A53">
      <w:pPr>
        <w:shd w:val="clear" w:color="auto" w:fill="F1EFE8"/>
        <w:spacing w:after="0"/>
        <w:ind w:left="432"/>
      </w:pPr>
      <w:r>
        <w:rPr>
          <w:rFonts w:ascii="Courier New" w:hAnsi="Courier New"/>
          <w:sz w:val="18"/>
        </w:rPr>
        <w:t>if (!require("skimr"))     install.packages("skimr")</w:t>
      </w:r>
    </w:p>
    <w:p w:rsidR="00DB518A" w:rsidRDefault="004B4A53">
      <w:pPr>
        <w:shd w:val="clear" w:color="auto" w:fill="F1EFE8"/>
        <w:spacing w:after="0"/>
        <w:ind w:left="432"/>
      </w:pPr>
      <w:r>
        <w:rPr>
          <w:rFonts w:ascii="Courier New" w:hAnsi="Courier New"/>
          <w:sz w:val="18"/>
        </w:rPr>
        <w:t>if (!require("caret"))     install.packages("caret")</w:t>
      </w:r>
    </w:p>
    <w:p w:rsidR="00DB518A" w:rsidRDefault="004B4A53">
      <w:pPr>
        <w:shd w:val="clear" w:color="auto" w:fill="F1EFE8"/>
        <w:spacing w:after="0"/>
        <w:ind w:left="432"/>
      </w:pPr>
      <w:r>
        <w:rPr>
          <w:rFonts w:ascii="Courier New" w:hAnsi="Courier New"/>
          <w:sz w:val="18"/>
        </w:rPr>
        <w:t>library(tidyverse)</w:t>
      </w:r>
    </w:p>
    <w:p w:rsidR="00DB518A" w:rsidRDefault="004B4A53">
      <w:pPr>
        <w:shd w:val="clear" w:color="auto" w:fill="F1EFE8"/>
        <w:spacing w:after="0"/>
        <w:ind w:left="432"/>
      </w:pPr>
      <w:r>
        <w:rPr>
          <w:rFonts w:ascii="Courier New" w:hAnsi="Courier New"/>
          <w:sz w:val="18"/>
        </w:rPr>
        <w:t>library(skimr)</w:t>
      </w:r>
    </w:p>
    <w:p w:rsidR="00DB518A" w:rsidRDefault="004B4A53">
      <w:pPr>
        <w:shd w:val="clear" w:color="auto" w:fill="F1EFE8"/>
        <w:spacing w:after="0"/>
        <w:ind w:left="432"/>
      </w:pPr>
      <w:r>
        <w:rPr>
          <w:rFonts w:ascii="Courier New" w:hAnsi="Courier New"/>
          <w:sz w:val="18"/>
        </w:rPr>
        <w:t>library(caret)</w:t>
      </w:r>
    </w:p>
    <w:p w:rsidR="00DB518A" w:rsidRDefault="00DB518A">
      <w:pPr>
        <w:spacing w:after="80"/>
      </w:pPr>
    </w:p>
    <w:p w:rsidR="00DB518A" w:rsidRDefault="004B4A53">
      <w:pPr>
        <w:spacing w:before="200" w:after="40"/>
      </w:pPr>
      <w:r>
        <w:rPr>
          <w:b/>
          <w:color w:val="534AB7"/>
          <w:sz w:val="23"/>
        </w:rPr>
        <w:t>Submission</w:t>
      </w:r>
    </w:p>
    <w:p w:rsidR="00DB518A" w:rsidRDefault="004B4A53">
      <w:pPr>
        <w:pStyle w:val="ListBullet"/>
        <w:spacing w:before="20" w:after="40"/>
      </w:pPr>
      <w:r>
        <w:rPr>
          <w:sz w:val="20"/>
        </w:rPr>
        <w:t>Each group submits one .Rmd source file and one rendered .html file — not one per member</w:t>
      </w:r>
    </w:p>
    <w:p w:rsidR="00DB518A" w:rsidRDefault="004B4A53">
      <w:pPr>
        <w:pStyle w:val="ListBullet"/>
        <w:spacing w:before="20" w:after="40"/>
      </w:pPr>
      <w:r>
        <w:rPr>
          <w:sz w:val="20"/>
        </w:rPr>
        <w:t>The .Rmd must knit successfully without any modification or manual intervention</w:t>
      </w:r>
    </w:p>
    <w:p w:rsidR="00DB518A" w:rsidRDefault="004B4A53">
      <w:pPr>
        <w:pStyle w:val="ListBullet"/>
        <w:spacing w:before="20" w:after="40"/>
      </w:pPr>
      <w:r>
        <w:rPr>
          <w:sz w:val="20"/>
        </w:rPr>
        <w:t>File naming convention: SectionGroupNoMid.Rmd / SectionGroupNoMid.html for Phase 1; SectionGroupNoFinal.Rmd / SectionGroupNoFinal.html for Phase 2</w:t>
      </w:r>
    </w:p>
    <w:p w:rsidR="00DB518A" w:rsidRDefault="004B4A53">
      <w:pPr>
        <w:pStyle w:val="ListBullet"/>
        <w:spacing w:before="20" w:after="40"/>
      </w:pPr>
      <w:r>
        <w:rPr>
          <w:sz w:val="20"/>
        </w:rPr>
        <w:t>Example: J01Mid.Rmd and J01Mid.html for Phase 1; J01Final.Rmd and J01Final.html for Phase 2</w:t>
      </w:r>
    </w:p>
    <w:p w:rsidR="00DB518A" w:rsidRDefault="004B4A53">
      <w:pPr>
        <w:pStyle w:val="ListBullet"/>
        <w:spacing w:before="20" w:after="40"/>
      </w:pPr>
      <w:r>
        <w:rPr>
          <w:sz w:val="20"/>
        </w:rPr>
        <w:t>One member of the group is responsible for submitting both files to the MS Teams inbox</w:t>
      </w:r>
    </w:p>
    <w:p w:rsidR="00DB518A" w:rsidRDefault="004B4A53">
      <w:pPr>
        <w:pStyle w:val="ListBullet"/>
        <w:spacing w:before="20" w:after="40"/>
      </w:pPr>
      <w:r>
        <w:rPr>
          <w:sz w:val="20"/>
        </w:rPr>
        <w:t>Individual marks are NOT based on the document — they are assessed through a viva for each student</w:t>
      </w:r>
    </w:p>
    <w:p w:rsidR="00DB518A" w:rsidRDefault="004B4A53">
      <w:pPr>
        <w:pStyle w:val="ListBullet"/>
        <w:spacing w:before="20" w:after="40"/>
      </w:pPr>
      <w:r>
        <w:rPr>
          <w:sz w:val="20"/>
        </w:rPr>
        <w:t>Late submissions: 10% deduction per day unless an extension is granted in advance</w:t>
      </w:r>
    </w:p>
    <w:p w:rsidR="00DB518A" w:rsidRDefault="004B4A53">
      <w:pPr>
        <w:pBdr>
          <w:left w:val="single" w:sz="12" w:space="4" w:color="534AB7"/>
        </w:pBdr>
        <w:shd w:val="clear" w:color="auto" w:fill="FAEEDA"/>
        <w:spacing w:before="80" w:after="120"/>
        <w:ind w:left="200"/>
        <w:jc w:val="both"/>
      </w:pPr>
      <w:r>
        <w:rPr>
          <w:i/>
          <w:sz w:val="19"/>
        </w:rPr>
        <w:t>The code must run from start to finish without modification on any standard R installation. If it fails to knit during evaluation, the submission will be penalised. Test your document on a fresh R session before submitting.</w:t>
      </w:r>
    </w:p>
    <w:p w:rsidR="00DB518A" w:rsidRDefault="004B4A53">
      <w:pPr>
        <w:pBdr>
          <w:left w:val="single" w:sz="12" w:space="4" w:color="534AB7"/>
        </w:pBdr>
        <w:shd w:val="clear" w:color="auto" w:fill="FAEEDA"/>
        <w:spacing w:before="80" w:after="120"/>
        <w:ind w:left="200"/>
        <w:jc w:val="both"/>
      </w:pPr>
      <w:r>
        <w:rPr>
          <w:i/>
          <w:sz w:val="19"/>
        </w:rPr>
        <w:lastRenderedPageBreak/>
        <w:t>For any clarifications regarding the project requirements, technical issues, or expectations, students are welcome to attend consulting hours.</w:t>
      </w:r>
    </w:p>
    <w:p w:rsidR="00DB518A" w:rsidRDefault="004B4A53">
      <w:pPr>
        <w:pBdr>
          <w:bottom w:val="single" w:sz="6" w:space="1" w:color="0F6E56"/>
        </w:pBdr>
        <w:spacing w:before="280" w:after="80"/>
      </w:pPr>
      <w:r>
        <w:rPr>
          <w:b/>
          <w:color w:val="0F6E56"/>
          <w:sz w:val="26"/>
        </w:rPr>
        <w:t>4. PHASE 1 — MIDTERM SUBMISSION  (DEADLINE: 18 JULY 2026)</w:t>
      </w:r>
    </w:p>
    <w:p w:rsidR="00DB518A" w:rsidRDefault="004B4A53">
      <w:pPr>
        <w:spacing w:before="20" w:after="80"/>
        <w:jc w:val="both"/>
      </w:pPr>
      <w:r>
        <w:rPr>
          <w:sz w:val="20"/>
        </w:rPr>
        <w:t>Phase 1 covers the upstream stages of the data science life cycle. Students build and submit a self-contained R Markdown report containing the following sections:</w:t>
      </w:r>
    </w:p>
    <w:p w:rsidR="00DB518A" w:rsidRDefault="004B4A53">
      <w:pPr>
        <w:spacing w:before="200" w:after="40"/>
      </w:pPr>
      <w:r>
        <w:rPr>
          <w:b/>
          <w:color w:val="534AB7"/>
          <w:sz w:val="23"/>
        </w:rPr>
        <w:t>Section 1 — Problem Framing</w:t>
      </w:r>
    </w:p>
    <w:p w:rsidR="00DB518A" w:rsidRDefault="004B4A53">
      <w:pPr>
        <w:pStyle w:val="ListBullet"/>
        <w:spacing w:before="20" w:after="40"/>
      </w:pPr>
      <w:r>
        <w:rPr>
          <w:sz w:val="20"/>
        </w:rPr>
        <w:t>Describe the domain context and dataset background</w:t>
      </w:r>
    </w:p>
    <w:p w:rsidR="00DB518A" w:rsidRDefault="004B4A53">
      <w:pPr>
        <w:pStyle w:val="ListBullet"/>
        <w:spacing w:before="20" w:after="40"/>
      </w:pPr>
      <w:r>
        <w:rPr>
          <w:sz w:val="20"/>
        </w:rPr>
        <w:t>State 2–3 specific, testable analytical questions (not just "predict X")</w:t>
      </w:r>
    </w:p>
    <w:p w:rsidR="00DB518A" w:rsidRDefault="004B4A53">
      <w:pPr>
        <w:pStyle w:val="ListBullet"/>
        <w:spacing w:before="20" w:after="40"/>
      </w:pPr>
      <w:r>
        <w:rPr>
          <w:sz w:val="20"/>
        </w:rPr>
        <w:t>Define success criteria and identify the relevant evaluation metrics</w:t>
      </w:r>
    </w:p>
    <w:p w:rsidR="00DB518A" w:rsidRDefault="004B4A53">
      <w:pPr>
        <w:pStyle w:val="ListBullet"/>
        <w:spacing w:before="20" w:after="40"/>
      </w:pPr>
      <w:r>
        <w:rPr>
          <w:sz w:val="20"/>
        </w:rPr>
        <w:t>Justify why this dataset is appropriate for the stated questions</w:t>
      </w:r>
    </w:p>
    <w:p w:rsidR="00DB518A" w:rsidRDefault="004B4A53">
      <w:pPr>
        <w:spacing w:before="200" w:after="40"/>
      </w:pPr>
      <w:r>
        <w:rPr>
          <w:b/>
          <w:color w:val="534AB7"/>
          <w:sz w:val="23"/>
        </w:rPr>
        <w:t>Section 2 — Data Acquisition &amp; Initial Inspection</w:t>
      </w:r>
    </w:p>
    <w:p w:rsidR="00DB518A" w:rsidRDefault="004B4A53">
      <w:pPr>
        <w:pStyle w:val="ListBullet"/>
        <w:spacing w:before="20" w:after="40"/>
      </w:pPr>
      <w:r>
        <w:rPr>
          <w:sz w:val="20"/>
        </w:rPr>
        <w:t>Load data from a public URL using read_csv() or equivalent — no local file paths</w:t>
      </w:r>
    </w:p>
    <w:p w:rsidR="00DB518A" w:rsidRDefault="004B4A53">
      <w:pPr>
        <w:pStyle w:val="ListBullet"/>
        <w:spacing w:before="20" w:after="40"/>
      </w:pPr>
      <w:r>
        <w:rPr>
          <w:sz w:val="20"/>
        </w:rPr>
        <w:t>Report dimensions, variable types, and a printed head() of the dataset</w:t>
      </w:r>
    </w:p>
    <w:p w:rsidR="00DB518A" w:rsidRDefault="004B4A53">
      <w:pPr>
        <w:pStyle w:val="ListBullet"/>
        <w:spacing w:before="20" w:after="40"/>
      </w:pPr>
      <w:r>
        <w:rPr>
          <w:sz w:val="20"/>
        </w:rPr>
        <w:t>Produce a full summary statistics table using skimr::skim()</w:t>
      </w:r>
    </w:p>
    <w:p w:rsidR="00DB518A" w:rsidRDefault="004B4A53">
      <w:pPr>
        <w:pStyle w:val="ListBullet"/>
        <w:spacing w:before="20" w:after="40"/>
      </w:pPr>
      <w:r>
        <w:rPr>
          <w:sz w:val="20"/>
        </w:rPr>
        <w:t>Document data provenance: source, collection method, and known limitations</w:t>
      </w:r>
    </w:p>
    <w:p w:rsidR="00DB518A" w:rsidRDefault="004B4A53">
      <w:pPr>
        <w:spacing w:before="200" w:after="40"/>
      </w:pPr>
      <w:r>
        <w:rPr>
          <w:b/>
          <w:color w:val="534AB7"/>
          <w:sz w:val="23"/>
        </w:rPr>
        <w:t>Section 3 — Exploratory Data Analysis (EDA)</w:t>
      </w:r>
    </w:p>
    <w:p w:rsidR="00DB518A" w:rsidRDefault="004B4A53">
      <w:pPr>
        <w:pStyle w:val="ListBullet"/>
        <w:spacing w:before="20" w:after="40"/>
      </w:pPr>
      <w:r>
        <w:rPr>
          <w:sz w:val="20"/>
        </w:rPr>
        <w:t>Univariate analysis: distribution plots for all key variables (histograms, bar charts via ggplot2); each plot must be followed by a short observation documenting the key pattern or distribution shape</w:t>
      </w:r>
    </w:p>
    <w:p w:rsidR="00DB518A" w:rsidRDefault="004B4A53">
      <w:pPr>
        <w:pStyle w:val="ListBullet"/>
        <w:spacing w:before="20" w:after="40"/>
      </w:pPr>
      <w:r>
        <w:rPr>
          <w:sz w:val="20"/>
        </w:rPr>
        <w:t>Skewness analysis: compute skewness for each numeric variable (e.g. using moments::skewness() or e1071::skewness()); document for each variable whether transformation is warranted and why</w:t>
      </w:r>
    </w:p>
    <w:p w:rsidR="00DB518A" w:rsidRDefault="004B4A53">
      <w:pPr>
        <w:pStyle w:val="ListBullet"/>
        <w:spacing w:before="20" w:after="40"/>
      </w:pPr>
      <w:r>
        <w:rPr>
          <w:sz w:val="20"/>
        </w:rPr>
        <w:t>Bivariate analysis: scatter plots, box plots, and grouped summaries linking predictors to the target variable; each output must be followed by a short observation on the relationship observed</w:t>
      </w:r>
    </w:p>
    <w:p w:rsidR="00DB518A" w:rsidRDefault="004B4A53">
      <w:pPr>
        <w:pStyle w:val="ListBullet"/>
        <w:spacing w:before="20" w:after="40"/>
      </w:pPr>
      <w:r>
        <w:rPr>
          <w:sz w:val="20"/>
        </w:rPr>
        <w:t>Correlation analysis: correlation matrix or heatmap for numeric variables; document which pairs show strong positive or negative correlation and any multicollinearity concerns</w:t>
      </w:r>
    </w:p>
    <w:p w:rsidR="00DB518A" w:rsidRDefault="004B4A53">
      <w:pPr>
        <w:pStyle w:val="ListBullet"/>
        <w:spacing w:before="20" w:after="40"/>
      </w:pPr>
      <w:r>
        <w:rPr>
          <w:sz w:val="20"/>
        </w:rPr>
        <w:t>At least one non-obvious or interesting finding must be highlighted with a supporting plot and a short written observation</w:t>
      </w:r>
    </w:p>
    <w:p w:rsidR="00DB518A" w:rsidRDefault="004B4A53">
      <w:pPr>
        <w:spacing w:before="200" w:after="40"/>
      </w:pPr>
      <w:r>
        <w:rPr>
          <w:b/>
          <w:color w:val="534AB7"/>
          <w:sz w:val="23"/>
        </w:rPr>
        <w:t>Section 4 — Preprocessing &amp; Feature Engineering</w:t>
      </w:r>
    </w:p>
    <w:p w:rsidR="00DB518A" w:rsidRDefault="004B4A53">
      <w:pPr>
        <w:pStyle w:val="ListBullet"/>
        <w:spacing w:before="20" w:after="40"/>
      </w:pPr>
      <w:r>
        <w:rPr>
          <w:sz w:val="20"/>
        </w:rPr>
        <w:t>Missing value treatment: imputation or removal with explicit justification for each decision</w:t>
      </w:r>
    </w:p>
    <w:p w:rsidR="00DB518A" w:rsidRDefault="004B4A53">
      <w:pPr>
        <w:pStyle w:val="ListBullet"/>
        <w:spacing w:before="20" w:after="40"/>
      </w:pPr>
      <w:r>
        <w:rPr>
          <w:sz w:val="20"/>
        </w:rPr>
        <w:t>Outlier detection and treatment: document the strategy (IQR, Z-score, or domain reasoning)</w:t>
      </w:r>
    </w:p>
    <w:p w:rsidR="00DB518A" w:rsidRDefault="004B4A53">
      <w:pPr>
        <w:pStyle w:val="ListBullet"/>
        <w:spacing w:before="20" w:after="40"/>
      </w:pPr>
      <w:r>
        <w:rPr>
          <w:sz w:val="20"/>
        </w:rPr>
        <w:t>Categorical encoding: dummy/one-hot encoding or ordinal encoding as appropriate</w:t>
      </w:r>
    </w:p>
    <w:p w:rsidR="00DB518A" w:rsidRDefault="004B4A53">
      <w:pPr>
        <w:pStyle w:val="ListBullet"/>
        <w:spacing w:before="20" w:after="40"/>
      </w:pPr>
      <w:r>
        <w:rPr>
          <w:sz w:val="20"/>
        </w:rPr>
        <w:t>Numeric scaling/normalisation: standardisation or min-max scaling where justified</w:t>
      </w:r>
    </w:p>
    <w:p w:rsidR="00DB518A" w:rsidRDefault="004B4A53">
      <w:pPr>
        <w:pStyle w:val="ListBullet"/>
        <w:spacing w:before="20" w:after="40"/>
      </w:pPr>
      <w:r>
        <w:rPr>
          <w:sz w:val="20"/>
        </w:rPr>
        <w:t>Feature engineering: create at least two new meaningful features derived from existing variables (e.g. ratios, bins, interaction terms, date decomposition, log transforms); justify each</w:t>
      </w:r>
    </w:p>
    <w:p w:rsidR="00DB518A" w:rsidRDefault="004B4A53">
      <w:pPr>
        <w:pStyle w:val="ListBullet"/>
        <w:spacing w:before="20" w:after="40"/>
      </w:pPr>
      <w:r>
        <w:rPr>
          <w:sz w:val="20"/>
        </w:rPr>
        <w:t>Feature selection: apply at least one feature selection technique (e.g. correlation filter, variance threshold, or recursive feature elimination) and document which features are retained and why</w:t>
      </w:r>
    </w:p>
    <w:p w:rsidR="00DB518A" w:rsidRDefault="004B4A53">
      <w:pPr>
        <w:pStyle w:val="ListBullet"/>
        <w:spacing w:before="20" w:after="40"/>
      </w:pPr>
      <w:r>
        <w:rPr>
          <w:sz w:val="20"/>
        </w:rPr>
        <w:t>Save the cleaned, engineered, and selected feature set as a data frame for use in Phase 2</w:t>
      </w:r>
    </w:p>
    <w:p w:rsidR="00DB518A" w:rsidRDefault="004B4A53">
      <w:pPr>
        <w:pBdr>
          <w:left w:val="single" w:sz="12" w:space="4" w:color="534AB7"/>
        </w:pBdr>
        <w:shd w:val="clear" w:color="auto" w:fill="FAEEDA"/>
        <w:spacing w:before="80" w:after="120"/>
        <w:ind w:left="200"/>
        <w:jc w:val="both"/>
      </w:pPr>
      <w:r>
        <w:rPr>
          <w:i/>
          <w:sz w:val="19"/>
        </w:rPr>
        <w:t>Feature engineering and feature selection are assessed separately. Simply dropping columns does not constitute feature selection — a principled, documented method is required.</w:t>
      </w:r>
    </w:p>
    <w:p w:rsidR="00DB518A" w:rsidRDefault="004B4A53">
      <w:pPr>
        <w:pBdr>
          <w:bottom w:val="single" w:sz="6" w:space="1" w:color="0F6E56"/>
        </w:pBdr>
        <w:spacing w:before="280" w:after="80"/>
      </w:pPr>
      <w:r>
        <w:rPr>
          <w:b/>
          <w:color w:val="0F6E56"/>
          <w:sz w:val="26"/>
        </w:rPr>
        <w:lastRenderedPageBreak/>
        <w:t>5. PHASE 2 — FINAL SUBMISSION  (DEADLINE: 29 AUGUST 2026)</w:t>
      </w:r>
    </w:p>
    <w:p w:rsidR="00DB518A" w:rsidRDefault="004B4A53">
      <w:pPr>
        <w:spacing w:before="20" w:after="80"/>
        <w:jc w:val="both"/>
      </w:pPr>
      <w:r>
        <w:rPr>
          <w:sz w:val="20"/>
        </w:rPr>
        <w:t>Phase 2 extends the same .Rmd file. Students append the following sections to the document submitted at midterm, producing one cumulative report.</w:t>
      </w:r>
    </w:p>
    <w:p w:rsidR="00DB518A" w:rsidRDefault="004B4A53">
      <w:pPr>
        <w:spacing w:before="200" w:after="40"/>
      </w:pPr>
      <w:r>
        <w:rPr>
          <w:b/>
          <w:color w:val="534AB7"/>
          <w:sz w:val="23"/>
        </w:rPr>
        <w:t>Section 5 — Dimensionality Reduction with PCA</w:t>
      </w:r>
    </w:p>
    <w:p w:rsidR="00DB518A" w:rsidRDefault="004B4A53">
      <w:pPr>
        <w:pStyle w:val="ListBullet"/>
        <w:spacing w:before="20" w:after="40"/>
      </w:pPr>
      <w:r>
        <w:rPr>
          <w:sz w:val="20"/>
        </w:rPr>
        <w:t>Apply Principal Component Analysis (PCA) to the numeric features of the preprocessed dataset using prcomp() or princomp()</w:t>
      </w:r>
    </w:p>
    <w:p w:rsidR="00DB518A" w:rsidRDefault="004B4A53">
      <w:pPr>
        <w:pStyle w:val="ListBullet"/>
        <w:spacing w:before="20" w:after="40"/>
      </w:pPr>
      <w:r>
        <w:rPr>
          <w:sz w:val="20"/>
        </w:rPr>
        <w:t>Plot the scree plot and cumulative explained variance; document how many components are selected and what percentage of variance they explain</w:t>
      </w:r>
    </w:p>
    <w:p w:rsidR="00DB518A" w:rsidRDefault="004B4A53">
      <w:pPr>
        <w:pStyle w:val="ListBullet"/>
        <w:spacing w:before="20" w:after="40"/>
      </w:pPr>
      <w:r>
        <w:rPr>
          <w:sz w:val="20"/>
        </w:rPr>
        <w:t>Produce a biplot or loading plot; document which original features contribute most to the first two components</w:t>
      </w:r>
    </w:p>
    <w:p w:rsidR="00DB518A" w:rsidRDefault="004B4A53">
      <w:pPr>
        <w:pStyle w:val="ListBullet"/>
        <w:spacing w:before="20" w:after="40"/>
      </w:pPr>
      <w:r>
        <w:rPr>
          <w:sz w:val="20"/>
        </w:rPr>
        <w:t>Document whether PCA improves or hinders model interpretability for the specific dataset, with reasoning</w:t>
      </w:r>
    </w:p>
    <w:p w:rsidR="00DB518A" w:rsidRDefault="004B4A53">
      <w:pPr>
        <w:pStyle w:val="ListBullet"/>
        <w:spacing w:before="20" w:after="40"/>
      </w:pPr>
      <w:r>
        <w:rPr>
          <w:sz w:val="20"/>
        </w:rPr>
        <w:t>Students may choose to train models on PCA-transformed features or on the original feature set; both choices must be justified</w:t>
      </w:r>
    </w:p>
    <w:p w:rsidR="00DB518A" w:rsidRDefault="004B4A53">
      <w:pPr>
        <w:spacing w:before="200" w:after="40"/>
      </w:pPr>
      <w:r>
        <w:rPr>
          <w:b/>
          <w:color w:val="534AB7"/>
          <w:sz w:val="23"/>
        </w:rPr>
        <w:t>Section 6 — Modelling</w:t>
      </w:r>
    </w:p>
    <w:p w:rsidR="00DB518A" w:rsidRDefault="004B4A53">
      <w:pPr>
        <w:pStyle w:val="ListBullet"/>
        <w:spacing w:before="20" w:after="40"/>
      </w:pPr>
      <w:r>
        <w:rPr>
          <w:sz w:val="20"/>
        </w:rPr>
        <w:t>Split the dataset into training and test sets (e.g. 80/20 split) using rsample or caret</w:t>
      </w:r>
    </w:p>
    <w:p w:rsidR="00DB518A" w:rsidRDefault="004B4A53">
      <w:pPr>
        <w:pStyle w:val="ListBullet"/>
        <w:spacing w:before="20" w:after="40"/>
      </w:pPr>
      <w:r>
        <w:rPr>
          <w:sz w:val="20"/>
        </w:rPr>
        <w:t>Fit at least two models: one baseline (linear or logistic regression) and one improved model (decision tree, random forest, k-NN, or similar)</w:t>
      </w:r>
    </w:p>
    <w:p w:rsidR="00DB518A" w:rsidRDefault="004B4A53">
      <w:pPr>
        <w:pStyle w:val="ListBullet"/>
        <w:spacing w:before="20" w:after="40"/>
      </w:pPr>
      <w:r>
        <w:rPr>
          <w:sz w:val="20"/>
        </w:rPr>
        <w:t>Apply k-fold cross-validation (k = 5 or 10) for model selection and hyperparameter tuning</w:t>
      </w:r>
    </w:p>
    <w:p w:rsidR="00DB518A" w:rsidRDefault="004B4A53">
      <w:pPr>
        <w:pStyle w:val="ListBullet"/>
        <w:spacing w:before="20" w:after="40"/>
      </w:pPr>
      <w:r>
        <w:rPr>
          <w:sz w:val="20"/>
        </w:rPr>
        <w:t>Document all modelling decisions: algorithm choice, hyperparameter values, and rationale</w:t>
      </w:r>
    </w:p>
    <w:p w:rsidR="00DB518A" w:rsidRDefault="004B4A53">
      <w:pPr>
        <w:spacing w:before="200" w:after="40"/>
      </w:pPr>
      <w:r>
        <w:rPr>
          <w:b/>
          <w:color w:val="534AB7"/>
          <w:sz w:val="23"/>
        </w:rPr>
        <w:t>Section 7 — Evaluation</w:t>
      </w:r>
    </w:p>
    <w:p w:rsidR="00DB518A" w:rsidRDefault="004B4A53">
      <w:pPr>
        <w:pStyle w:val="ListBullet"/>
        <w:spacing w:before="20" w:after="40"/>
      </w:pPr>
      <w:r>
        <w:rPr>
          <w:sz w:val="20"/>
        </w:rPr>
        <w:t>Report appropriate metrics — RMSE and R² for regression; accuracy, precision, recall, F1, and ROC-AUC for classification</w:t>
      </w:r>
    </w:p>
    <w:p w:rsidR="00DB518A" w:rsidRDefault="004B4A53">
      <w:pPr>
        <w:pStyle w:val="ListBullet"/>
        <w:spacing w:before="20" w:after="40"/>
      </w:pPr>
      <w:r>
        <w:rPr>
          <w:sz w:val="20"/>
        </w:rPr>
        <w:t>Compare all models in a formatted kable table; follow the table with a short observation identifying the best-performing model and possible reasons</w:t>
      </w:r>
    </w:p>
    <w:p w:rsidR="00DB518A" w:rsidRDefault="004B4A53">
      <w:pPr>
        <w:pStyle w:val="ListBullet"/>
        <w:spacing w:before="20" w:after="40"/>
      </w:pPr>
      <w:r>
        <w:rPr>
          <w:sz w:val="20"/>
        </w:rPr>
        <w:t>Visualise predictions vs. actuals (regression) or the confusion matrix (classification); document key observations from the visualisation</w:t>
      </w:r>
    </w:p>
    <w:p w:rsidR="00DB518A" w:rsidRDefault="004B4A53">
      <w:pPr>
        <w:pStyle w:val="ListBullet"/>
        <w:spacing w:before="20" w:after="40"/>
      </w:pPr>
      <w:r>
        <w:rPr>
          <w:sz w:val="20"/>
        </w:rPr>
        <w:t>Interpret results in domain terms, not just numerical summaries</w:t>
      </w:r>
    </w:p>
    <w:p w:rsidR="00DB518A" w:rsidRDefault="004B4A53">
      <w:pPr>
        <w:spacing w:before="200" w:after="40"/>
      </w:pPr>
      <w:r>
        <w:rPr>
          <w:b/>
          <w:color w:val="534AB7"/>
          <w:sz w:val="23"/>
        </w:rPr>
        <w:t>Section 8 — Communication</w:t>
      </w:r>
    </w:p>
    <w:p w:rsidR="00DB518A" w:rsidRDefault="004B4A53">
      <w:pPr>
        <w:pStyle w:val="ListBullet"/>
        <w:spacing w:before="20" w:after="40"/>
      </w:pPr>
      <w:r>
        <w:rPr>
          <w:sz w:val="20"/>
        </w:rPr>
        <w:t>Write an executive summary (200–300 words) suitable for a non-technical stakeholder</w:t>
      </w:r>
    </w:p>
    <w:p w:rsidR="00DB518A" w:rsidRDefault="004B4A53">
      <w:pPr>
        <w:pStyle w:val="ListBullet"/>
        <w:spacing w:before="20" w:after="40"/>
      </w:pPr>
      <w:r>
        <w:rPr>
          <w:sz w:val="20"/>
        </w:rPr>
        <w:t>Produce at least one polished, publication-quality ggplot2 figure that directly answers one of the original research questions from Section 1</w:t>
      </w:r>
    </w:p>
    <w:p w:rsidR="00DB518A" w:rsidRDefault="004B4A53">
      <w:pPr>
        <w:pStyle w:val="ListBullet"/>
        <w:spacing w:before="20" w:after="40"/>
      </w:pPr>
      <w:r>
        <w:rPr>
          <w:sz w:val="20"/>
        </w:rPr>
        <w:t>Each code chunk must be followed by a short observation or interpretation of the output where applicable; avoid isolated code blocks with no context</w:t>
      </w:r>
    </w:p>
    <w:p w:rsidR="00DB518A" w:rsidRDefault="004B4A53">
      <w:pPr>
        <w:spacing w:before="200" w:after="40"/>
      </w:pPr>
      <w:r>
        <w:rPr>
          <w:b/>
          <w:color w:val="534AB7"/>
          <w:sz w:val="23"/>
        </w:rPr>
        <w:t>Section 9 — Reflection</w:t>
      </w:r>
    </w:p>
    <w:p w:rsidR="00DB518A" w:rsidRDefault="004B4A53">
      <w:pPr>
        <w:pStyle w:val="ListBullet"/>
        <w:spacing w:before="20" w:after="40"/>
      </w:pPr>
      <w:r>
        <w:rPr>
          <w:sz w:val="20"/>
        </w:rPr>
        <w:t>Discuss at least two specific limitations of the analysis (data quality, model assumptions, scope)</w:t>
      </w:r>
    </w:p>
    <w:p w:rsidR="00DB518A" w:rsidRDefault="004B4A53">
      <w:pPr>
        <w:pStyle w:val="ListBullet"/>
        <w:spacing w:before="20" w:after="40"/>
      </w:pPr>
      <w:r>
        <w:rPr>
          <w:sz w:val="20"/>
        </w:rPr>
        <w:t>Comment on ethical considerations: potential biases in the data, fairness of predictions, and privacy implications</w:t>
      </w:r>
    </w:p>
    <w:p w:rsidR="00DB518A" w:rsidRDefault="004B4A53">
      <w:pPr>
        <w:pStyle w:val="ListBullet"/>
        <w:spacing w:before="20" w:after="40"/>
      </w:pPr>
      <w:r>
        <w:rPr>
          <w:sz w:val="20"/>
        </w:rPr>
        <w:t>Propose two concrete, actionable directions for future work</w:t>
      </w:r>
    </w:p>
    <w:p w:rsidR="00DB518A" w:rsidRDefault="004B4A53">
      <w:pPr>
        <w:pBdr>
          <w:bottom w:val="single" w:sz="6" w:space="1" w:color="0F6E56"/>
        </w:pBdr>
        <w:spacing w:before="280" w:after="80"/>
      </w:pPr>
      <w:r>
        <w:rPr>
          <w:b/>
          <w:color w:val="0F6E56"/>
          <w:sz w:val="26"/>
        </w:rPr>
        <w:lastRenderedPageBreak/>
        <w:t>6. WEEKLY MILESTONES &amp; SCHEDULE</w:t>
      </w:r>
    </w:p>
    <w:p w:rsidR="00DB518A" w:rsidRDefault="004B4A53">
      <w:pPr>
        <w:spacing w:before="20" w:after="80"/>
        <w:jc w:val="both"/>
      </w:pPr>
      <w:r>
        <w:rPr>
          <w:sz w:val="20"/>
        </w:rPr>
        <w:t>The table below shows the recommended weekly targets. Milestones are advisory and not separately graded, but brief progress checks may be conducted.</w:t>
      </w:r>
    </w:p>
    <w:tbl>
      <w:tblPr>
        <w:tblStyle w:val="TableGrid"/>
        <w:tblW w:w="0" w:type="auto"/>
        <w:tblLook w:val="04A0" w:firstRow="1" w:lastRow="0" w:firstColumn="1" w:lastColumn="0" w:noHBand="0" w:noVBand="1"/>
      </w:tblPr>
      <w:tblGrid>
        <w:gridCol w:w="1225"/>
        <w:gridCol w:w="2047"/>
        <w:gridCol w:w="1481"/>
        <w:gridCol w:w="4535"/>
      </w:tblGrid>
      <w:tr w:rsidR="00DB518A">
        <w:tc>
          <w:tcPr>
            <w:tcW w:w="1296" w:type="dxa"/>
            <w:tcBorders>
              <w:top w:val="single" w:sz="4" w:space="0" w:color="C5C5C5"/>
              <w:left w:val="single" w:sz="4" w:space="0" w:color="C5C5C5"/>
              <w:bottom w:val="single" w:sz="4" w:space="0" w:color="C5C5C5"/>
              <w:right w:val="single" w:sz="4" w:space="0" w:color="C5C5C5"/>
            </w:tcBorders>
            <w:shd w:val="clear" w:color="auto" w:fill="E1F5EE"/>
          </w:tcPr>
          <w:p w:rsidR="00DB518A" w:rsidRDefault="004B4A53">
            <w:pPr>
              <w:jc w:val="center"/>
            </w:pPr>
            <w:r>
              <w:rPr>
                <w:b/>
                <w:color w:val="0F6E56"/>
                <w:sz w:val="19"/>
              </w:rPr>
              <w:t>Week</w:t>
            </w:r>
          </w:p>
        </w:tc>
        <w:tc>
          <w:tcPr>
            <w:tcW w:w="2232" w:type="dxa"/>
            <w:tcBorders>
              <w:top w:val="single" w:sz="4" w:space="0" w:color="C5C5C5"/>
              <w:left w:val="single" w:sz="4" w:space="0" w:color="C5C5C5"/>
              <w:bottom w:val="single" w:sz="4" w:space="0" w:color="C5C5C5"/>
              <w:right w:val="single" w:sz="4" w:space="0" w:color="C5C5C5"/>
            </w:tcBorders>
            <w:shd w:val="clear" w:color="auto" w:fill="E1F5EE"/>
          </w:tcPr>
          <w:p w:rsidR="00DB518A" w:rsidRDefault="004B4A53">
            <w:pPr>
              <w:jc w:val="center"/>
            </w:pPr>
            <w:r>
              <w:rPr>
                <w:b/>
                <w:color w:val="0F6E56"/>
                <w:sz w:val="19"/>
              </w:rPr>
              <w:t>Dates</w:t>
            </w:r>
          </w:p>
        </w:tc>
        <w:tc>
          <w:tcPr>
            <w:tcW w:w="1584" w:type="dxa"/>
            <w:tcBorders>
              <w:top w:val="single" w:sz="4" w:space="0" w:color="C5C5C5"/>
              <w:left w:val="single" w:sz="4" w:space="0" w:color="C5C5C5"/>
              <w:bottom w:val="single" w:sz="4" w:space="0" w:color="C5C5C5"/>
              <w:right w:val="single" w:sz="4" w:space="0" w:color="C5C5C5"/>
            </w:tcBorders>
            <w:shd w:val="clear" w:color="auto" w:fill="E1F5EE"/>
          </w:tcPr>
          <w:p w:rsidR="00DB518A" w:rsidRDefault="004B4A53">
            <w:pPr>
              <w:jc w:val="center"/>
            </w:pPr>
            <w:r>
              <w:rPr>
                <w:b/>
                <w:color w:val="0F6E56"/>
                <w:sz w:val="19"/>
              </w:rPr>
              <w:t>Phase</w:t>
            </w:r>
          </w:p>
        </w:tc>
        <w:tc>
          <w:tcPr>
            <w:tcW w:w="4968" w:type="dxa"/>
            <w:tcBorders>
              <w:top w:val="single" w:sz="4" w:space="0" w:color="C5C5C5"/>
              <w:left w:val="single" w:sz="4" w:space="0" w:color="C5C5C5"/>
              <w:bottom w:val="single" w:sz="4" w:space="0" w:color="C5C5C5"/>
              <w:right w:val="single" w:sz="4" w:space="0" w:color="C5C5C5"/>
            </w:tcBorders>
            <w:shd w:val="clear" w:color="auto" w:fill="E1F5EE"/>
          </w:tcPr>
          <w:p w:rsidR="00DB518A" w:rsidRDefault="004B4A53">
            <w:pPr>
              <w:jc w:val="center"/>
            </w:pPr>
            <w:r>
              <w:rPr>
                <w:b/>
                <w:color w:val="0F6E56"/>
                <w:sz w:val="19"/>
              </w:rPr>
              <w:t>Milestone Target</w:t>
            </w:r>
          </w:p>
        </w:tc>
      </w:tr>
      <w:tr w:rsidR="00DB518A">
        <w:tc>
          <w:tcPr>
            <w:tcW w:w="1296"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b/>
                <w:color w:val="2C2C2A"/>
                <w:sz w:val="19"/>
              </w:rPr>
              <w:t>Week 1</w:t>
            </w:r>
          </w:p>
        </w:tc>
        <w:tc>
          <w:tcPr>
            <w:tcW w:w="2232"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26 Jun – 2 Jul</w:t>
            </w:r>
          </w:p>
        </w:tc>
        <w:tc>
          <w:tcPr>
            <w:tcW w:w="1584"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Phase 1</w:t>
            </w:r>
          </w:p>
        </w:tc>
        <w:tc>
          <w:tcPr>
            <w:tcW w:w="4968"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Dataset approved; Section 1 (Problem Framing) drafted; data loads from URL</w:t>
            </w:r>
          </w:p>
        </w:tc>
      </w:tr>
      <w:tr w:rsidR="00DB518A">
        <w:tc>
          <w:tcPr>
            <w:tcW w:w="1296"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b/>
                <w:color w:val="2C2C2A"/>
                <w:sz w:val="19"/>
              </w:rPr>
              <w:t>Week 2</w:t>
            </w:r>
          </w:p>
        </w:tc>
        <w:tc>
          <w:tcPr>
            <w:tcW w:w="2232"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3 Jul – 9 Jul</w:t>
            </w:r>
          </w:p>
        </w:tc>
        <w:tc>
          <w:tcPr>
            <w:tcW w:w="1584"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Phase 1</w:t>
            </w:r>
          </w:p>
        </w:tc>
        <w:tc>
          <w:tcPr>
            <w:tcW w:w="4968"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Sections 2 &amp; 3 complete: data inspection, EDA with skewness analysis, correlation heatmap</w:t>
            </w:r>
          </w:p>
        </w:tc>
      </w:tr>
      <w:tr w:rsidR="00DB518A">
        <w:tc>
          <w:tcPr>
            <w:tcW w:w="1296"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b/>
                <w:color w:val="2C2C2A"/>
                <w:sz w:val="19"/>
              </w:rPr>
              <w:t>Week 3</w:t>
            </w:r>
          </w:p>
        </w:tc>
        <w:tc>
          <w:tcPr>
            <w:tcW w:w="2232"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10 Jul – 17 Jul</w:t>
            </w:r>
          </w:p>
        </w:tc>
        <w:tc>
          <w:tcPr>
            <w:tcW w:w="1584"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Phase 1</w:t>
            </w:r>
          </w:p>
        </w:tc>
        <w:tc>
          <w:tcPr>
            <w:tcW w:w="4968"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Section 4 complete: preprocessing, feature engineering, feature selection; final review and clean knit</w:t>
            </w:r>
          </w:p>
        </w:tc>
      </w:tr>
      <w:tr w:rsidR="00DB518A">
        <w:tc>
          <w:tcPr>
            <w:tcW w:w="1296"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b/>
                <w:color w:val="2C2C2A"/>
                <w:sz w:val="19"/>
              </w:rPr>
              <w:t>★ Week 3</w:t>
            </w:r>
          </w:p>
        </w:tc>
        <w:tc>
          <w:tcPr>
            <w:tcW w:w="2232"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024AB0">
            <w:r>
              <w:rPr>
                <w:color w:val="2C2C2A"/>
                <w:sz w:val="19"/>
              </w:rPr>
              <w:t>20</w:t>
            </w:r>
            <w:r w:rsidR="004B4A53">
              <w:rPr>
                <w:color w:val="2C2C2A"/>
                <w:sz w:val="19"/>
              </w:rPr>
              <w:t xml:space="preserve"> Jul</w:t>
            </w:r>
          </w:p>
        </w:tc>
        <w:tc>
          <w:tcPr>
            <w:tcW w:w="1584"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Phase 1</w:t>
            </w:r>
          </w:p>
        </w:tc>
        <w:tc>
          <w:tcPr>
            <w:tcW w:w="4968"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sidP="00024AB0">
            <w:r>
              <w:rPr>
                <w:color w:val="2C2C2A"/>
                <w:sz w:val="19"/>
              </w:rPr>
              <w:t xml:space="preserve">MIDTERM DEADLINE — .Rmd + .html submitted. Note: midterm exams begin 19 </w:t>
            </w:r>
            <w:r w:rsidR="00024AB0">
              <w:rPr>
                <w:color w:val="2C2C2A"/>
                <w:sz w:val="19"/>
              </w:rPr>
              <w:t>July — aim to submit by 18 July</w:t>
            </w:r>
            <w:bookmarkStart w:id="0" w:name="_GoBack"/>
            <w:bookmarkEnd w:id="0"/>
          </w:p>
        </w:tc>
      </w:tr>
      <w:tr w:rsidR="00DB518A">
        <w:tc>
          <w:tcPr>
            <w:tcW w:w="1296"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b/>
                <w:color w:val="2C2C2A"/>
                <w:sz w:val="19"/>
              </w:rPr>
              <w:t>Week 4</w:t>
            </w:r>
          </w:p>
        </w:tc>
        <w:tc>
          <w:tcPr>
            <w:tcW w:w="2232"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19 Jul – 25 Jul</w:t>
            </w:r>
          </w:p>
        </w:tc>
        <w:tc>
          <w:tcPr>
            <w:tcW w:w="1584"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Phase 2</w:t>
            </w:r>
          </w:p>
        </w:tc>
        <w:tc>
          <w:tcPr>
            <w:tcW w:w="4968"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Section 5: PCA implemented, scree plot, biplot, component interpretation</w:t>
            </w:r>
          </w:p>
        </w:tc>
      </w:tr>
      <w:tr w:rsidR="00DB518A">
        <w:tc>
          <w:tcPr>
            <w:tcW w:w="1296"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b/>
                <w:color w:val="2C2C2A"/>
                <w:sz w:val="19"/>
              </w:rPr>
              <w:t>Week 4</w:t>
            </w:r>
          </w:p>
        </w:tc>
        <w:tc>
          <w:tcPr>
            <w:tcW w:w="2232"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19 Jul – 25 Jul</w:t>
            </w:r>
          </w:p>
        </w:tc>
        <w:tc>
          <w:tcPr>
            <w:tcW w:w="1584"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Phase 2</w:t>
            </w:r>
          </w:p>
        </w:tc>
        <w:tc>
          <w:tcPr>
            <w:tcW w:w="4968"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Section 6: baseline and improved models trained with cross-validation</w:t>
            </w:r>
          </w:p>
        </w:tc>
      </w:tr>
      <w:tr w:rsidR="00DB518A">
        <w:tc>
          <w:tcPr>
            <w:tcW w:w="1296"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b/>
                <w:color w:val="2C2C2A"/>
                <w:sz w:val="19"/>
              </w:rPr>
              <w:t>Week 5</w:t>
            </w:r>
          </w:p>
        </w:tc>
        <w:tc>
          <w:tcPr>
            <w:tcW w:w="2232"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26 Jul – 1 Aug</w:t>
            </w:r>
          </w:p>
        </w:tc>
        <w:tc>
          <w:tcPr>
            <w:tcW w:w="1584"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Phase 2</w:t>
            </w:r>
          </w:p>
        </w:tc>
        <w:tc>
          <w:tcPr>
            <w:tcW w:w="4968"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Section 7: evaluation metrics, model comparison table, prediction visualisation</w:t>
            </w:r>
          </w:p>
        </w:tc>
      </w:tr>
      <w:tr w:rsidR="00DB518A">
        <w:tc>
          <w:tcPr>
            <w:tcW w:w="1296"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b/>
                <w:color w:val="2C2C2A"/>
                <w:sz w:val="19"/>
              </w:rPr>
              <w:t>Week 6</w:t>
            </w:r>
          </w:p>
        </w:tc>
        <w:tc>
          <w:tcPr>
            <w:tcW w:w="2232"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2 Aug – 8 Aug</w:t>
            </w:r>
          </w:p>
        </w:tc>
        <w:tc>
          <w:tcPr>
            <w:tcW w:w="1584"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Phase 2</w:t>
            </w:r>
          </w:p>
        </w:tc>
        <w:tc>
          <w:tcPr>
            <w:tcW w:w="4968"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Section 8: executive summary, polished ggplot2 figure, narrative review</w:t>
            </w:r>
          </w:p>
        </w:tc>
      </w:tr>
      <w:tr w:rsidR="00DB518A">
        <w:tc>
          <w:tcPr>
            <w:tcW w:w="1296"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b/>
                <w:color w:val="2C2C2A"/>
                <w:sz w:val="19"/>
              </w:rPr>
              <w:t>Week 7</w:t>
            </w:r>
          </w:p>
        </w:tc>
        <w:tc>
          <w:tcPr>
            <w:tcW w:w="2232"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9 Aug – 28 Aug</w:t>
            </w:r>
          </w:p>
        </w:tc>
        <w:tc>
          <w:tcPr>
            <w:tcW w:w="1584"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Phase 2</w:t>
            </w:r>
          </w:p>
        </w:tc>
        <w:tc>
          <w:tcPr>
            <w:tcW w:w="4968"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Section 9: reflection; full document review, knit test on a clean session</w:t>
            </w:r>
          </w:p>
        </w:tc>
      </w:tr>
      <w:tr w:rsidR="00DB518A">
        <w:tc>
          <w:tcPr>
            <w:tcW w:w="1296"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b/>
                <w:color w:val="2C2C2A"/>
                <w:sz w:val="19"/>
              </w:rPr>
              <w:t>★ Week 7</w:t>
            </w:r>
          </w:p>
        </w:tc>
        <w:tc>
          <w:tcPr>
            <w:tcW w:w="2232"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29 Aug</w:t>
            </w:r>
          </w:p>
        </w:tc>
        <w:tc>
          <w:tcPr>
            <w:tcW w:w="1584"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Phase 2</w:t>
            </w:r>
          </w:p>
        </w:tc>
        <w:tc>
          <w:tcPr>
            <w:tcW w:w="4968"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FINAL DEADLINE — complete cumulative .Rmd + .html submitted</w:t>
            </w:r>
          </w:p>
        </w:tc>
      </w:tr>
    </w:tbl>
    <w:p w:rsidR="00DB518A" w:rsidRDefault="00DB518A">
      <w:pPr>
        <w:spacing w:after="80"/>
      </w:pPr>
    </w:p>
    <w:p w:rsidR="00DB518A" w:rsidRDefault="004B4A53">
      <w:pPr>
        <w:pBdr>
          <w:left w:val="single" w:sz="12" w:space="4" w:color="534AB7"/>
        </w:pBdr>
        <w:shd w:val="clear" w:color="auto" w:fill="FAEEDA"/>
        <w:spacing w:before="80" w:after="120"/>
        <w:ind w:left="200"/>
        <w:jc w:val="both"/>
      </w:pPr>
      <w:r>
        <w:rPr>
          <w:i/>
          <w:sz w:val="19"/>
        </w:rPr>
        <w:t>Weeks marked ★ are hard deadlines. Midterm exams begin on 19 July — students are strongly advised to complete and submit Phase 1 before exam week begins. It is recommended to complete a clean knit of the full document at least two days before each deadline.</w:t>
      </w:r>
    </w:p>
    <w:p w:rsidR="00DB518A" w:rsidRDefault="004B4A53">
      <w:pPr>
        <w:pBdr>
          <w:bottom w:val="single" w:sz="6" w:space="1" w:color="0F6E56"/>
        </w:pBdr>
        <w:spacing w:before="280" w:after="80"/>
      </w:pPr>
      <w:r>
        <w:rPr>
          <w:b/>
          <w:color w:val="0F6E56"/>
          <w:sz w:val="26"/>
        </w:rPr>
        <w:t>7. MARKING RUBRIC</w:t>
      </w:r>
    </w:p>
    <w:p w:rsidR="00DB518A" w:rsidRDefault="004B4A53">
      <w:pPr>
        <w:spacing w:before="200" w:after="40"/>
      </w:pPr>
      <w:r>
        <w:rPr>
          <w:b/>
          <w:color w:val="534AB7"/>
          <w:sz w:val="23"/>
        </w:rPr>
        <w:t>Phase 1 — Midterm  (Total: 50 marks)</w:t>
      </w:r>
    </w:p>
    <w:p w:rsidR="00DB518A" w:rsidRDefault="004B4A53">
      <w:pPr>
        <w:spacing w:before="20" w:after="40"/>
        <w:jc w:val="both"/>
      </w:pPr>
      <w:r>
        <w:rPr>
          <w:sz w:val="20"/>
        </w:rPr>
        <w:t>Group mark (30 marks):</w:t>
      </w:r>
    </w:p>
    <w:tbl>
      <w:tblPr>
        <w:tblStyle w:val="TableGrid"/>
        <w:tblW w:w="0" w:type="auto"/>
        <w:tblLook w:val="04A0" w:firstRow="1" w:lastRow="0" w:firstColumn="1" w:lastColumn="0" w:noHBand="0" w:noVBand="1"/>
      </w:tblPr>
      <w:tblGrid>
        <w:gridCol w:w="3695"/>
        <w:gridCol w:w="976"/>
        <w:gridCol w:w="4617"/>
      </w:tblGrid>
      <w:tr w:rsidR="00DB518A">
        <w:tc>
          <w:tcPr>
            <w:tcW w:w="4032" w:type="dxa"/>
            <w:tcBorders>
              <w:top w:val="single" w:sz="4" w:space="0" w:color="C5C5C5"/>
              <w:left w:val="single" w:sz="4" w:space="0" w:color="C5C5C5"/>
              <w:bottom w:val="single" w:sz="4" w:space="0" w:color="C5C5C5"/>
              <w:right w:val="single" w:sz="4" w:space="0" w:color="C5C5C5"/>
            </w:tcBorders>
            <w:shd w:val="clear" w:color="auto" w:fill="E1F5EE"/>
          </w:tcPr>
          <w:p w:rsidR="00DB518A" w:rsidRDefault="004B4A53">
            <w:pPr>
              <w:jc w:val="center"/>
            </w:pPr>
            <w:r>
              <w:rPr>
                <w:b/>
                <w:color w:val="0F6E56"/>
                <w:sz w:val="19"/>
              </w:rPr>
              <w:t>Component</w:t>
            </w:r>
          </w:p>
        </w:tc>
        <w:tc>
          <w:tcPr>
            <w:tcW w:w="1008" w:type="dxa"/>
            <w:tcBorders>
              <w:top w:val="single" w:sz="4" w:space="0" w:color="C5C5C5"/>
              <w:left w:val="single" w:sz="4" w:space="0" w:color="C5C5C5"/>
              <w:bottom w:val="single" w:sz="4" w:space="0" w:color="C5C5C5"/>
              <w:right w:val="single" w:sz="4" w:space="0" w:color="C5C5C5"/>
            </w:tcBorders>
            <w:shd w:val="clear" w:color="auto" w:fill="E1F5EE"/>
          </w:tcPr>
          <w:p w:rsidR="00DB518A" w:rsidRDefault="004B4A53">
            <w:pPr>
              <w:jc w:val="center"/>
            </w:pPr>
            <w:r>
              <w:rPr>
                <w:b/>
                <w:color w:val="0F6E56"/>
                <w:sz w:val="19"/>
              </w:rPr>
              <w:t>Marks</w:t>
            </w:r>
          </w:p>
        </w:tc>
        <w:tc>
          <w:tcPr>
            <w:tcW w:w="5040" w:type="dxa"/>
            <w:tcBorders>
              <w:top w:val="single" w:sz="4" w:space="0" w:color="C5C5C5"/>
              <w:left w:val="single" w:sz="4" w:space="0" w:color="C5C5C5"/>
              <w:bottom w:val="single" w:sz="4" w:space="0" w:color="C5C5C5"/>
              <w:right w:val="single" w:sz="4" w:space="0" w:color="C5C5C5"/>
            </w:tcBorders>
            <w:shd w:val="clear" w:color="auto" w:fill="E1F5EE"/>
          </w:tcPr>
          <w:p w:rsidR="00DB518A" w:rsidRDefault="004B4A53">
            <w:pPr>
              <w:jc w:val="center"/>
            </w:pPr>
            <w:r>
              <w:rPr>
                <w:b/>
                <w:color w:val="0F6E56"/>
                <w:sz w:val="19"/>
              </w:rPr>
              <w:t>Key Criteria</w:t>
            </w:r>
          </w:p>
        </w:tc>
      </w:tr>
      <w:tr w:rsidR="00DB518A">
        <w:tc>
          <w:tcPr>
            <w:tcW w:w="4032"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b/>
                <w:color w:val="2C2C2A"/>
                <w:sz w:val="19"/>
              </w:rPr>
              <w:t>Problem framing &amp; research questions</w:t>
            </w:r>
          </w:p>
        </w:tc>
        <w:tc>
          <w:tcPr>
            <w:tcW w:w="1008"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5</w:t>
            </w:r>
          </w:p>
        </w:tc>
        <w:tc>
          <w:tcPr>
            <w:tcW w:w="5040"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Clear domain context, specific &amp; testable questions, defined success metrics</w:t>
            </w:r>
          </w:p>
        </w:tc>
      </w:tr>
      <w:tr w:rsidR="00DB518A">
        <w:tc>
          <w:tcPr>
            <w:tcW w:w="4032"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b/>
                <w:color w:val="2C2C2A"/>
                <w:sz w:val="19"/>
              </w:rPr>
              <w:t>Data acquisition &amp; provenance</w:t>
            </w:r>
          </w:p>
        </w:tc>
        <w:tc>
          <w:tcPr>
            <w:tcW w:w="1008"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5</w:t>
            </w:r>
          </w:p>
        </w:tc>
        <w:tc>
          <w:tcPr>
            <w:tcW w:w="5040"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Loads from URL, correct inspection, documented limitations</w:t>
            </w:r>
          </w:p>
        </w:tc>
      </w:tr>
      <w:tr w:rsidR="00DB518A">
        <w:tc>
          <w:tcPr>
            <w:tcW w:w="4032"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b/>
                <w:color w:val="2C2C2A"/>
                <w:sz w:val="19"/>
              </w:rPr>
              <w:t>Exploratory Data Analysis (incl. skewness)</w:t>
            </w:r>
          </w:p>
        </w:tc>
        <w:tc>
          <w:tcPr>
            <w:tcW w:w="1008"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10</w:t>
            </w:r>
          </w:p>
        </w:tc>
        <w:tc>
          <w:tcPr>
            <w:tcW w:w="5040"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Complete univariate/bivariate analysis, skewness computed &amp; interpreted; informative visuals</w:t>
            </w:r>
          </w:p>
        </w:tc>
      </w:tr>
      <w:tr w:rsidR="00DB518A">
        <w:tc>
          <w:tcPr>
            <w:tcW w:w="4032"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b/>
                <w:color w:val="2C2C2A"/>
                <w:sz w:val="19"/>
              </w:rPr>
              <w:t>Preprocessing, feature engineering &amp; selection</w:t>
            </w:r>
          </w:p>
        </w:tc>
        <w:tc>
          <w:tcPr>
            <w:tcW w:w="1008"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10</w:t>
            </w:r>
          </w:p>
        </w:tc>
        <w:tc>
          <w:tcPr>
            <w:tcW w:w="5040"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All cleaning decisions justified; ≥2 engineered features; principled feature selection method</w:t>
            </w:r>
          </w:p>
        </w:tc>
      </w:tr>
    </w:tbl>
    <w:p w:rsidR="00DB518A" w:rsidRDefault="00DB518A">
      <w:pPr>
        <w:spacing w:after="80"/>
      </w:pPr>
    </w:p>
    <w:p w:rsidR="00DB518A" w:rsidRDefault="004B4A53">
      <w:pPr>
        <w:spacing w:before="20" w:after="40"/>
        <w:jc w:val="both"/>
      </w:pPr>
      <w:r>
        <w:rPr>
          <w:sz w:val="20"/>
        </w:rPr>
        <w:t>Individual mark (20 marks) — awarded via viva:</w:t>
      </w:r>
    </w:p>
    <w:tbl>
      <w:tblPr>
        <w:tblStyle w:val="TableGrid"/>
        <w:tblW w:w="0" w:type="auto"/>
        <w:tblLook w:val="04A0" w:firstRow="1" w:lastRow="0" w:firstColumn="1" w:lastColumn="0" w:noHBand="0" w:noVBand="1"/>
      </w:tblPr>
      <w:tblGrid>
        <w:gridCol w:w="3730"/>
        <w:gridCol w:w="978"/>
        <w:gridCol w:w="4580"/>
      </w:tblGrid>
      <w:tr w:rsidR="00DB518A">
        <w:tc>
          <w:tcPr>
            <w:tcW w:w="4032" w:type="dxa"/>
            <w:tcBorders>
              <w:top w:val="single" w:sz="4" w:space="0" w:color="C5C5C5"/>
              <w:left w:val="single" w:sz="4" w:space="0" w:color="C5C5C5"/>
              <w:bottom w:val="single" w:sz="4" w:space="0" w:color="C5C5C5"/>
              <w:right w:val="single" w:sz="4" w:space="0" w:color="C5C5C5"/>
            </w:tcBorders>
            <w:shd w:val="clear" w:color="auto" w:fill="E1F5EE"/>
          </w:tcPr>
          <w:p w:rsidR="00DB518A" w:rsidRDefault="004B4A53">
            <w:pPr>
              <w:jc w:val="center"/>
            </w:pPr>
            <w:r>
              <w:rPr>
                <w:b/>
                <w:color w:val="0F6E56"/>
                <w:sz w:val="19"/>
              </w:rPr>
              <w:t>Component</w:t>
            </w:r>
          </w:p>
        </w:tc>
        <w:tc>
          <w:tcPr>
            <w:tcW w:w="1008" w:type="dxa"/>
            <w:tcBorders>
              <w:top w:val="single" w:sz="4" w:space="0" w:color="C5C5C5"/>
              <w:left w:val="single" w:sz="4" w:space="0" w:color="C5C5C5"/>
              <w:bottom w:val="single" w:sz="4" w:space="0" w:color="C5C5C5"/>
              <w:right w:val="single" w:sz="4" w:space="0" w:color="C5C5C5"/>
            </w:tcBorders>
            <w:shd w:val="clear" w:color="auto" w:fill="E1F5EE"/>
          </w:tcPr>
          <w:p w:rsidR="00DB518A" w:rsidRDefault="004B4A53">
            <w:pPr>
              <w:jc w:val="center"/>
            </w:pPr>
            <w:r>
              <w:rPr>
                <w:b/>
                <w:color w:val="0F6E56"/>
                <w:sz w:val="19"/>
              </w:rPr>
              <w:t>Marks</w:t>
            </w:r>
          </w:p>
        </w:tc>
        <w:tc>
          <w:tcPr>
            <w:tcW w:w="5040" w:type="dxa"/>
            <w:tcBorders>
              <w:top w:val="single" w:sz="4" w:space="0" w:color="C5C5C5"/>
              <w:left w:val="single" w:sz="4" w:space="0" w:color="C5C5C5"/>
              <w:bottom w:val="single" w:sz="4" w:space="0" w:color="C5C5C5"/>
              <w:right w:val="single" w:sz="4" w:space="0" w:color="C5C5C5"/>
            </w:tcBorders>
            <w:shd w:val="clear" w:color="auto" w:fill="E1F5EE"/>
          </w:tcPr>
          <w:p w:rsidR="00DB518A" w:rsidRDefault="004B4A53">
            <w:pPr>
              <w:jc w:val="center"/>
            </w:pPr>
            <w:r>
              <w:rPr>
                <w:b/>
                <w:color w:val="0F6E56"/>
                <w:sz w:val="19"/>
              </w:rPr>
              <w:t>Key Criteria</w:t>
            </w:r>
          </w:p>
        </w:tc>
      </w:tr>
      <w:tr w:rsidR="00DB518A">
        <w:tc>
          <w:tcPr>
            <w:tcW w:w="4032"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b/>
                <w:color w:val="2C2C2A"/>
                <w:sz w:val="19"/>
              </w:rPr>
              <w:t>Understanding of project implementation</w:t>
            </w:r>
          </w:p>
        </w:tc>
        <w:tc>
          <w:tcPr>
            <w:tcW w:w="1008"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12</w:t>
            </w:r>
          </w:p>
        </w:tc>
        <w:tc>
          <w:tcPr>
            <w:tcW w:w="5040"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Student can explain data choices, preprocessing steps, EDA findings, and code logic when questioned</w:t>
            </w:r>
          </w:p>
        </w:tc>
      </w:tr>
      <w:tr w:rsidR="00DB518A">
        <w:tc>
          <w:tcPr>
            <w:tcW w:w="4032"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b/>
                <w:color w:val="2C2C2A"/>
                <w:sz w:val="19"/>
              </w:rPr>
              <w:t>Lab task performance</w:t>
            </w:r>
          </w:p>
        </w:tc>
        <w:tc>
          <w:tcPr>
            <w:tcW w:w="1008"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8</w:t>
            </w:r>
          </w:p>
        </w:tc>
        <w:tc>
          <w:tcPr>
            <w:tcW w:w="5040"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Performance on related lab tasks assigned during the course</w:t>
            </w:r>
          </w:p>
        </w:tc>
      </w:tr>
    </w:tbl>
    <w:p w:rsidR="00DB518A" w:rsidRDefault="00DB518A">
      <w:pPr>
        <w:spacing w:after="80"/>
      </w:pPr>
    </w:p>
    <w:p w:rsidR="00DB518A" w:rsidRDefault="004B4A53">
      <w:pPr>
        <w:pBdr>
          <w:left w:val="single" w:sz="12" w:space="4" w:color="534AB7"/>
        </w:pBdr>
        <w:shd w:val="clear" w:color="auto" w:fill="FAEEDA"/>
        <w:spacing w:before="80" w:after="120"/>
        <w:ind w:left="200"/>
        <w:jc w:val="both"/>
      </w:pPr>
      <w:r>
        <w:rPr>
          <w:i/>
          <w:sz w:val="19"/>
        </w:rPr>
        <w:t>The individual viva is conducted separately for each student. Students must be able to explain any part of the group submission. Not being able to explain the group's code or decisions will result in a lower individual mark regardless of document quality.</w:t>
      </w:r>
    </w:p>
    <w:p w:rsidR="00DB518A" w:rsidRDefault="004B4A53">
      <w:pPr>
        <w:spacing w:before="200" w:after="40"/>
      </w:pPr>
      <w:r>
        <w:rPr>
          <w:b/>
          <w:color w:val="534AB7"/>
          <w:sz w:val="23"/>
        </w:rPr>
        <w:t>Phase 2 — Final  (Total: 50 marks)</w:t>
      </w:r>
    </w:p>
    <w:p w:rsidR="00DB518A" w:rsidRDefault="004B4A53">
      <w:pPr>
        <w:spacing w:before="20" w:after="40"/>
        <w:jc w:val="both"/>
      </w:pPr>
      <w:r>
        <w:rPr>
          <w:sz w:val="20"/>
        </w:rPr>
        <w:t>Group mark (30 marks):</w:t>
      </w:r>
    </w:p>
    <w:tbl>
      <w:tblPr>
        <w:tblStyle w:val="TableGrid"/>
        <w:tblW w:w="0" w:type="auto"/>
        <w:tblLook w:val="04A0" w:firstRow="1" w:lastRow="0" w:firstColumn="1" w:lastColumn="0" w:noHBand="0" w:noVBand="1"/>
      </w:tblPr>
      <w:tblGrid>
        <w:gridCol w:w="3721"/>
        <w:gridCol w:w="977"/>
        <w:gridCol w:w="4590"/>
      </w:tblGrid>
      <w:tr w:rsidR="00DB518A">
        <w:tc>
          <w:tcPr>
            <w:tcW w:w="4032" w:type="dxa"/>
            <w:tcBorders>
              <w:top w:val="single" w:sz="4" w:space="0" w:color="C5C5C5"/>
              <w:left w:val="single" w:sz="4" w:space="0" w:color="C5C5C5"/>
              <w:bottom w:val="single" w:sz="4" w:space="0" w:color="C5C5C5"/>
              <w:right w:val="single" w:sz="4" w:space="0" w:color="C5C5C5"/>
            </w:tcBorders>
            <w:shd w:val="clear" w:color="auto" w:fill="E1F5EE"/>
          </w:tcPr>
          <w:p w:rsidR="00DB518A" w:rsidRDefault="004B4A53">
            <w:pPr>
              <w:jc w:val="center"/>
            </w:pPr>
            <w:r>
              <w:rPr>
                <w:b/>
                <w:color w:val="0F6E56"/>
                <w:sz w:val="19"/>
              </w:rPr>
              <w:t>Component</w:t>
            </w:r>
          </w:p>
        </w:tc>
        <w:tc>
          <w:tcPr>
            <w:tcW w:w="1008" w:type="dxa"/>
            <w:tcBorders>
              <w:top w:val="single" w:sz="4" w:space="0" w:color="C5C5C5"/>
              <w:left w:val="single" w:sz="4" w:space="0" w:color="C5C5C5"/>
              <w:bottom w:val="single" w:sz="4" w:space="0" w:color="C5C5C5"/>
              <w:right w:val="single" w:sz="4" w:space="0" w:color="C5C5C5"/>
            </w:tcBorders>
            <w:shd w:val="clear" w:color="auto" w:fill="E1F5EE"/>
          </w:tcPr>
          <w:p w:rsidR="00DB518A" w:rsidRDefault="004B4A53">
            <w:pPr>
              <w:jc w:val="center"/>
            </w:pPr>
            <w:r>
              <w:rPr>
                <w:b/>
                <w:color w:val="0F6E56"/>
                <w:sz w:val="19"/>
              </w:rPr>
              <w:t>Marks</w:t>
            </w:r>
          </w:p>
        </w:tc>
        <w:tc>
          <w:tcPr>
            <w:tcW w:w="5040" w:type="dxa"/>
            <w:tcBorders>
              <w:top w:val="single" w:sz="4" w:space="0" w:color="C5C5C5"/>
              <w:left w:val="single" w:sz="4" w:space="0" w:color="C5C5C5"/>
              <w:bottom w:val="single" w:sz="4" w:space="0" w:color="C5C5C5"/>
              <w:right w:val="single" w:sz="4" w:space="0" w:color="C5C5C5"/>
            </w:tcBorders>
            <w:shd w:val="clear" w:color="auto" w:fill="E1F5EE"/>
          </w:tcPr>
          <w:p w:rsidR="00DB518A" w:rsidRDefault="004B4A53">
            <w:pPr>
              <w:jc w:val="center"/>
            </w:pPr>
            <w:r>
              <w:rPr>
                <w:b/>
                <w:color w:val="0F6E56"/>
                <w:sz w:val="19"/>
              </w:rPr>
              <w:t>Key Criteria</w:t>
            </w:r>
          </w:p>
        </w:tc>
      </w:tr>
      <w:tr w:rsidR="00DB518A">
        <w:tc>
          <w:tcPr>
            <w:tcW w:w="4032"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b/>
                <w:color w:val="2C2C2A"/>
                <w:sz w:val="19"/>
              </w:rPr>
              <w:t>PCA implementation &amp; interpretation</w:t>
            </w:r>
          </w:p>
        </w:tc>
        <w:tc>
          <w:tcPr>
            <w:tcW w:w="1008"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8</w:t>
            </w:r>
          </w:p>
        </w:tc>
        <w:tc>
          <w:tcPr>
            <w:tcW w:w="5040"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Correct prcomp(), scree plot, biplot, explained variance, justified component choice</w:t>
            </w:r>
          </w:p>
        </w:tc>
      </w:tr>
      <w:tr w:rsidR="00DB518A">
        <w:tc>
          <w:tcPr>
            <w:tcW w:w="4032"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b/>
                <w:color w:val="2C2C2A"/>
                <w:sz w:val="19"/>
              </w:rPr>
              <w:t>Modelling &amp; cross-validation</w:t>
            </w:r>
          </w:p>
        </w:tc>
        <w:tc>
          <w:tcPr>
            <w:tcW w:w="1008"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10</w:t>
            </w:r>
          </w:p>
        </w:tc>
        <w:tc>
          <w:tcPr>
            <w:tcW w:w="5040"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Baseline + improved model, k-fold CV, hyperparameter documentation</w:t>
            </w:r>
          </w:p>
        </w:tc>
      </w:tr>
      <w:tr w:rsidR="00DB518A">
        <w:tc>
          <w:tcPr>
            <w:tcW w:w="4032"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b/>
                <w:color w:val="2C2C2A"/>
                <w:sz w:val="19"/>
              </w:rPr>
              <w:t>Evaluation rigor &amp; comparison</w:t>
            </w:r>
          </w:p>
        </w:tc>
        <w:tc>
          <w:tcPr>
            <w:tcW w:w="1008"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7</w:t>
            </w:r>
          </w:p>
        </w:tc>
        <w:tc>
          <w:tcPr>
            <w:tcW w:w="5040"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Correct metrics, model comparison table, prediction visualisation, domain interpretation</w:t>
            </w:r>
          </w:p>
        </w:tc>
      </w:tr>
      <w:tr w:rsidR="00DB518A">
        <w:tc>
          <w:tcPr>
            <w:tcW w:w="4032"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b/>
                <w:color w:val="2C2C2A"/>
                <w:sz w:val="19"/>
              </w:rPr>
              <w:t>Communication &amp; polished visuals</w:t>
            </w:r>
          </w:p>
        </w:tc>
        <w:tc>
          <w:tcPr>
            <w:tcW w:w="1008"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5</w:t>
            </w:r>
          </w:p>
        </w:tc>
        <w:tc>
          <w:tcPr>
            <w:tcW w:w="5040"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Executive summary (200–300 words), publication-quality ggplot2 figure</w:t>
            </w:r>
          </w:p>
        </w:tc>
      </w:tr>
    </w:tbl>
    <w:p w:rsidR="00DB518A" w:rsidRDefault="00DB518A">
      <w:pPr>
        <w:spacing w:after="80"/>
      </w:pPr>
    </w:p>
    <w:p w:rsidR="00DB518A" w:rsidRDefault="004B4A53">
      <w:pPr>
        <w:spacing w:before="20" w:after="40"/>
        <w:jc w:val="both"/>
      </w:pPr>
      <w:r>
        <w:rPr>
          <w:sz w:val="20"/>
        </w:rPr>
        <w:t>Individual mark (20 marks) — awarded via viva:</w:t>
      </w:r>
    </w:p>
    <w:tbl>
      <w:tblPr>
        <w:tblStyle w:val="TableGrid"/>
        <w:tblW w:w="0" w:type="auto"/>
        <w:tblLook w:val="04A0" w:firstRow="1" w:lastRow="0" w:firstColumn="1" w:lastColumn="0" w:noHBand="0" w:noVBand="1"/>
      </w:tblPr>
      <w:tblGrid>
        <w:gridCol w:w="3735"/>
        <w:gridCol w:w="978"/>
        <w:gridCol w:w="4575"/>
      </w:tblGrid>
      <w:tr w:rsidR="00DB518A">
        <w:tc>
          <w:tcPr>
            <w:tcW w:w="4032" w:type="dxa"/>
            <w:tcBorders>
              <w:top w:val="single" w:sz="4" w:space="0" w:color="C5C5C5"/>
              <w:left w:val="single" w:sz="4" w:space="0" w:color="C5C5C5"/>
              <w:bottom w:val="single" w:sz="4" w:space="0" w:color="C5C5C5"/>
              <w:right w:val="single" w:sz="4" w:space="0" w:color="C5C5C5"/>
            </w:tcBorders>
            <w:shd w:val="clear" w:color="auto" w:fill="E1F5EE"/>
          </w:tcPr>
          <w:p w:rsidR="00DB518A" w:rsidRDefault="004B4A53">
            <w:pPr>
              <w:jc w:val="center"/>
            </w:pPr>
            <w:r>
              <w:rPr>
                <w:b/>
                <w:color w:val="0F6E56"/>
                <w:sz w:val="19"/>
              </w:rPr>
              <w:t>Component</w:t>
            </w:r>
          </w:p>
        </w:tc>
        <w:tc>
          <w:tcPr>
            <w:tcW w:w="1008" w:type="dxa"/>
            <w:tcBorders>
              <w:top w:val="single" w:sz="4" w:space="0" w:color="C5C5C5"/>
              <w:left w:val="single" w:sz="4" w:space="0" w:color="C5C5C5"/>
              <w:bottom w:val="single" w:sz="4" w:space="0" w:color="C5C5C5"/>
              <w:right w:val="single" w:sz="4" w:space="0" w:color="C5C5C5"/>
            </w:tcBorders>
            <w:shd w:val="clear" w:color="auto" w:fill="E1F5EE"/>
          </w:tcPr>
          <w:p w:rsidR="00DB518A" w:rsidRDefault="004B4A53">
            <w:pPr>
              <w:jc w:val="center"/>
            </w:pPr>
            <w:r>
              <w:rPr>
                <w:b/>
                <w:color w:val="0F6E56"/>
                <w:sz w:val="19"/>
              </w:rPr>
              <w:t>Marks</w:t>
            </w:r>
          </w:p>
        </w:tc>
        <w:tc>
          <w:tcPr>
            <w:tcW w:w="5040" w:type="dxa"/>
            <w:tcBorders>
              <w:top w:val="single" w:sz="4" w:space="0" w:color="C5C5C5"/>
              <w:left w:val="single" w:sz="4" w:space="0" w:color="C5C5C5"/>
              <w:bottom w:val="single" w:sz="4" w:space="0" w:color="C5C5C5"/>
              <w:right w:val="single" w:sz="4" w:space="0" w:color="C5C5C5"/>
            </w:tcBorders>
            <w:shd w:val="clear" w:color="auto" w:fill="E1F5EE"/>
          </w:tcPr>
          <w:p w:rsidR="00DB518A" w:rsidRDefault="004B4A53">
            <w:pPr>
              <w:jc w:val="center"/>
            </w:pPr>
            <w:r>
              <w:rPr>
                <w:b/>
                <w:color w:val="0F6E56"/>
                <w:sz w:val="19"/>
              </w:rPr>
              <w:t>Key Criteria</w:t>
            </w:r>
          </w:p>
        </w:tc>
      </w:tr>
      <w:tr w:rsidR="00DB518A">
        <w:tc>
          <w:tcPr>
            <w:tcW w:w="4032"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b/>
                <w:color w:val="2C2C2A"/>
                <w:sz w:val="19"/>
              </w:rPr>
              <w:t>Understanding of project implementation</w:t>
            </w:r>
          </w:p>
        </w:tc>
        <w:tc>
          <w:tcPr>
            <w:tcW w:w="1008"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12</w:t>
            </w:r>
          </w:p>
        </w:tc>
        <w:tc>
          <w:tcPr>
            <w:tcW w:w="5040"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Student can explain modelling choices, PCA, evaluation results, and code logic when questioned</w:t>
            </w:r>
          </w:p>
        </w:tc>
      </w:tr>
      <w:tr w:rsidR="00DB518A">
        <w:tc>
          <w:tcPr>
            <w:tcW w:w="4032"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b/>
                <w:color w:val="2C2C2A"/>
                <w:sz w:val="19"/>
              </w:rPr>
              <w:t>Lab task performance</w:t>
            </w:r>
          </w:p>
        </w:tc>
        <w:tc>
          <w:tcPr>
            <w:tcW w:w="1008"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8</w:t>
            </w:r>
          </w:p>
        </w:tc>
        <w:tc>
          <w:tcPr>
            <w:tcW w:w="5040"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Performance on related lab tasks assigned during the course</w:t>
            </w:r>
          </w:p>
        </w:tc>
      </w:tr>
    </w:tbl>
    <w:p w:rsidR="00DB518A" w:rsidRDefault="00DB518A">
      <w:pPr>
        <w:spacing w:after="80"/>
      </w:pPr>
    </w:p>
    <w:p w:rsidR="00DB518A" w:rsidRDefault="004B4A53">
      <w:pPr>
        <w:pBdr>
          <w:left w:val="single" w:sz="12" w:space="4" w:color="534AB7"/>
        </w:pBdr>
        <w:shd w:val="clear" w:color="auto" w:fill="FAEEDA"/>
        <w:spacing w:before="80" w:after="120"/>
        <w:ind w:left="200"/>
        <w:jc w:val="both"/>
      </w:pPr>
      <w:r>
        <w:rPr>
          <w:i/>
          <w:sz w:val="19"/>
        </w:rPr>
        <w:t>The individual viva is conducted separately for each student. Students must be able to explain any part of the group submission. Not being able to explain the group's code or decisions will result in a lower individual mark regardless of document quality.</w:t>
      </w:r>
    </w:p>
    <w:p w:rsidR="00DB518A" w:rsidRDefault="004B4A53">
      <w:pPr>
        <w:pBdr>
          <w:bottom w:val="single" w:sz="6" w:space="1" w:color="0F6E56"/>
        </w:pBdr>
        <w:spacing w:before="280" w:after="80"/>
      </w:pPr>
      <w:r>
        <w:rPr>
          <w:b/>
          <w:color w:val="0F6E56"/>
          <w:sz w:val="26"/>
        </w:rPr>
        <w:t>8. ACADEMIC INTEGRITY &amp; USE OF AI TOOLS</w:t>
      </w:r>
    </w:p>
    <w:p w:rsidR="00DB518A" w:rsidRDefault="004B4A53">
      <w:pPr>
        <w:spacing w:before="20" w:after="80"/>
        <w:jc w:val="both"/>
      </w:pPr>
      <w:r>
        <w:rPr>
          <w:sz w:val="20"/>
        </w:rPr>
        <w:t>All code and written analysis must be the original work of the group. The following policies apply:</w:t>
      </w:r>
    </w:p>
    <w:p w:rsidR="00DB518A" w:rsidRDefault="004B4A53">
      <w:pPr>
        <w:pStyle w:val="ListBullet"/>
        <w:spacing w:before="20" w:after="40"/>
      </w:pPr>
      <w:r>
        <w:rPr>
          <w:sz w:val="20"/>
        </w:rPr>
        <w:t>Direct copying of code from online sources without attribution is prohibited.</w:t>
      </w:r>
    </w:p>
    <w:p w:rsidR="00DB518A" w:rsidRDefault="004B4A53">
      <w:pPr>
        <w:pStyle w:val="ListBullet"/>
        <w:spacing w:before="20" w:after="40"/>
      </w:pPr>
      <w:r>
        <w:rPr>
          <w:sz w:val="20"/>
        </w:rPr>
        <w:t>AI-generated code or text may be used as a learning aid but must be disclosed in a brief note within the document. Students are responsible for understanding and being able to explain every line of code.</w:t>
      </w:r>
    </w:p>
    <w:p w:rsidR="00DB518A" w:rsidRDefault="004B4A53">
      <w:pPr>
        <w:pStyle w:val="ListBullet"/>
        <w:spacing w:before="20" w:after="40"/>
      </w:pPr>
      <w:r>
        <w:rPr>
          <w:sz w:val="20"/>
        </w:rPr>
        <w:t>All group members are expected to contribute equitably. Individual accountability is assessed through the viva — every student must be able to explain the full project, not just their own portion.</w:t>
      </w:r>
    </w:p>
    <w:p w:rsidR="00DB518A" w:rsidRDefault="004B4A53">
      <w:pPr>
        <w:pStyle w:val="ListBullet"/>
        <w:spacing w:before="20" w:after="40"/>
      </w:pPr>
      <w:r>
        <w:rPr>
          <w:sz w:val="20"/>
        </w:rPr>
        <w:t>Plagiarism between groups will result in zero marks for all parties involved.</w:t>
      </w:r>
    </w:p>
    <w:p w:rsidR="00DB518A" w:rsidRDefault="004B4A53">
      <w:pPr>
        <w:pBdr>
          <w:bottom w:val="single" w:sz="6" w:space="1" w:color="0F6E56"/>
        </w:pBdr>
        <w:spacing w:before="280" w:after="80"/>
      </w:pPr>
      <w:r>
        <w:rPr>
          <w:b/>
          <w:color w:val="0F6E56"/>
          <w:sz w:val="26"/>
        </w:rPr>
        <w:t>9. RECOMMENDED R PACKAGES</w:t>
      </w:r>
    </w:p>
    <w:tbl>
      <w:tblPr>
        <w:tblStyle w:val="TableGrid"/>
        <w:tblW w:w="0" w:type="auto"/>
        <w:tblLook w:val="04A0" w:firstRow="1" w:lastRow="0" w:firstColumn="1" w:lastColumn="0" w:noHBand="0" w:noVBand="1"/>
      </w:tblPr>
      <w:tblGrid>
        <w:gridCol w:w="2984"/>
        <w:gridCol w:w="6304"/>
      </w:tblGrid>
      <w:tr w:rsidR="00DB518A">
        <w:tc>
          <w:tcPr>
            <w:tcW w:w="3168" w:type="dxa"/>
            <w:tcBorders>
              <w:top w:val="single" w:sz="4" w:space="0" w:color="C5C5C5"/>
              <w:left w:val="single" w:sz="4" w:space="0" w:color="C5C5C5"/>
              <w:bottom w:val="single" w:sz="4" w:space="0" w:color="C5C5C5"/>
              <w:right w:val="single" w:sz="4" w:space="0" w:color="C5C5C5"/>
            </w:tcBorders>
            <w:shd w:val="clear" w:color="auto" w:fill="E1F5EE"/>
          </w:tcPr>
          <w:p w:rsidR="00DB518A" w:rsidRDefault="004B4A53">
            <w:pPr>
              <w:jc w:val="center"/>
            </w:pPr>
            <w:r>
              <w:rPr>
                <w:b/>
                <w:color w:val="0F6E56"/>
                <w:sz w:val="19"/>
              </w:rPr>
              <w:t>Package</w:t>
            </w:r>
          </w:p>
        </w:tc>
        <w:tc>
          <w:tcPr>
            <w:tcW w:w="6912" w:type="dxa"/>
            <w:tcBorders>
              <w:top w:val="single" w:sz="4" w:space="0" w:color="C5C5C5"/>
              <w:left w:val="single" w:sz="4" w:space="0" w:color="C5C5C5"/>
              <w:bottom w:val="single" w:sz="4" w:space="0" w:color="C5C5C5"/>
              <w:right w:val="single" w:sz="4" w:space="0" w:color="C5C5C5"/>
            </w:tcBorders>
            <w:shd w:val="clear" w:color="auto" w:fill="E1F5EE"/>
          </w:tcPr>
          <w:p w:rsidR="00DB518A" w:rsidRDefault="004B4A53">
            <w:pPr>
              <w:jc w:val="center"/>
            </w:pPr>
            <w:r>
              <w:rPr>
                <w:b/>
                <w:color w:val="0F6E56"/>
                <w:sz w:val="19"/>
              </w:rPr>
              <w:t>Purpose</w:t>
            </w:r>
          </w:p>
        </w:tc>
      </w:tr>
      <w:tr w:rsidR="00DB518A">
        <w:tc>
          <w:tcPr>
            <w:tcW w:w="3168"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b/>
                <w:color w:val="2C2C2A"/>
                <w:sz w:val="19"/>
              </w:rPr>
              <w:t>tidyverse</w:t>
            </w:r>
          </w:p>
        </w:tc>
        <w:tc>
          <w:tcPr>
            <w:tcW w:w="6912"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Core data manipulation and ggplot2 visualisation</w:t>
            </w:r>
          </w:p>
        </w:tc>
      </w:tr>
      <w:tr w:rsidR="00DB518A">
        <w:tc>
          <w:tcPr>
            <w:tcW w:w="3168"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b/>
                <w:color w:val="2C2C2A"/>
                <w:sz w:val="19"/>
              </w:rPr>
              <w:t>skimr</w:t>
            </w:r>
          </w:p>
        </w:tc>
        <w:tc>
          <w:tcPr>
            <w:tcW w:w="6912"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Compact summary statistics for EDA</w:t>
            </w:r>
          </w:p>
        </w:tc>
      </w:tr>
      <w:tr w:rsidR="00DB518A">
        <w:tc>
          <w:tcPr>
            <w:tcW w:w="3168"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b/>
                <w:color w:val="2C2C2A"/>
                <w:sz w:val="19"/>
              </w:rPr>
              <w:t>moments / e1071</w:t>
            </w:r>
          </w:p>
        </w:tc>
        <w:tc>
          <w:tcPr>
            <w:tcW w:w="6912"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Skewness and kurtosis computation</w:t>
            </w:r>
          </w:p>
        </w:tc>
      </w:tr>
      <w:tr w:rsidR="00DB518A">
        <w:tc>
          <w:tcPr>
            <w:tcW w:w="3168"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b/>
                <w:color w:val="2C2C2A"/>
                <w:sz w:val="19"/>
              </w:rPr>
              <w:t>knitr + kableExtra</w:t>
            </w:r>
          </w:p>
        </w:tc>
        <w:tc>
          <w:tcPr>
            <w:tcW w:w="6912"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Formatted tables in HTML output</w:t>
            </w:r>
          </w:p>
        </w:tc>
      </w:tr>
      <w:tr w:rsidR="00DB518A">
        <w:tc>
          <w:tcPr>
            <w:tcW w:w="3168"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b/>
                <w:color w:val="2C2C2A"/>
                <w:sz w:val="19"/>
              </w:rPr>
              <w:t>caret / tidymodels</w:t>
            </w:r>
          </w:p>
        </w:tc>
        <w:tc>
          <w:tcPr>
            <w:tcW w:w="6912"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Model training, cross-validation, and evaluation</w:t>
            </w:r>
          </w:p>
        </w:tc>
      </w:tr>
      <w:tr w:rsidR="00DB518A">
        <w:tc>
          <w:tcPr>
            <w:tcW w:w="3168"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b/>
                <w:color w:val="2C2C2A"/>
                <w:sz w:val="19"/>
              </w:rPr>
              <w:t>rsample</w:t>
            </w:r>
          </w:p>
        </w:tc>
        <w:tc>
          <w:tcPr>
            <w:tcW w:w="6912"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Train/test splitting and resampling</w:t>
            </w:r>
          </w:p>
        </w:tc>
      </w:tr>
      <w:tr w:rsidR="00DB518A">
        <w:tc>
          <w:tcPr>
            <w:tcW w:w="3168"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b/>
                <w:color w:val="2C2C2A"/>
                <w:sz w:val="19"/>
              </w:rPr>
              <w:t>ggcorrplot</w:t>
            </w:r>
          </w:p>
        </w:tc>
        <w:tc>
          <w:tcPr>
            <w:tcW w:w="6912"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Correlation matrix heatmaps</w:t>
            </w:r>
          </w:p>
        </w:tc>
      </w:tr>
      <w:tr w:rsidR="00DB518A">
        <w:tc>
          <w:tcPr>
            <w:tcW w:w="3168"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b/>
                <w:color w:val="2C2C2A"/>
                <w:sz w:val="19"/>
              </w:rPr>
              <w:lastRenderedPageBreak/>
              <w:t>factoextra</w:t>
            </w:r>
          </w:p>
        </w:tc>
        <w:tc>
          <w:tcPr>
            <w:tcW w:w="6912"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PCA visualisation (scree plot, biplot)</w:t>
            </w:r>
          </w:p>
        </w:tc>
      </w:tr>
      <w:tr w:rsidR="00DB518A">
        <w:tc>
          <w:tcPr>
            <w:tcW w:w="3168"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b/>
                <w:color w:val="2C2C2A"/>
                <w:sz w:val="19"/>
              </w:rPr>
              <w:t>randomForest / rpart</w:t>
            </w:r>
          </w:p>
        </w:tc>
        <w:tc>
          <w:tcPr>
            <w:tcW w:w="6912" w:type="dxa"/>
            <w:tcBorders>
              <w:top w:val="single" w:sz="4" w:space="0" w:color="C5C5C5"/>
              <w:left w:val="single" w:sz="4" w:space="0" w:color="C5C5C5"/>
              <w:bottom w:val="single" w:sz="4" w:space="0" w:color="C5C5C5"/>
              <w:right w:val="single" w:sz="4" w:space="0" w:color="C5C5C5"/>
            </w:tcBorders>
            <w:shd w:val="clear" w:color="auto" w:fill="FFFFFF"/>
          </w:tcPr>
          <w:p w:rsidR="00DB518A" w:rsidRDefault="004B4A53">
            <w:r>
              <w:rPr>
                <w:color w:val="2C2C2A"/>
                <w:sz w:val="19"/>
              </w:rPr>
              <w:t>Tree-based improved models</w:t>
            </w:r>
          </w:p>
        </w:tc>
      </w:tr>
      <w:tr w:rsidR="00DB518A">
        <w:tc>
          <w:tcPr>
            <w:tcW w:w="3168"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b/>
                <w:color w:val="2C2C2A"/>
                <w:sz w:val="19"/>
              </w:rPr>
              <w:t>pROC</w:t>
            </w:r>
          </w:p>
        </w:tc>
        <w:tc>
          <w:tcPr>
            <w:tcW w:w="6912" w:type="dxa"/>
            <w:tcBorders>
              <w:top w:val="single" w:sz="4" w:space="0" w:color="C5C5C5"/>
              <w:left w:val="single" w:sz="4" w:space="0" w:color="C5C5C5"/>
              <w:bottom w:val="single" w:sz="4" w:space="0" w:color="C5C5C5"/>
              <w:right w:val="single" w:sz="4" w:space="0" w:color="C5C5C5"/>
            </w:tcBorders>
            <w:shd w:val="clear" w:color="auto" w:fill="F1EFE8"/>
          </w:tcPr>
          <w:p w:rsidR="00DB518A" w:rsidRDefault="004B4A53">
            <w:r>
              <w:rPr>
                <w:color w:val="2C2C2A"/>
                <w:sz w:val="19"/>
              </w:rPr>
              <w:t>ROC curve and AUC computation</w:t>
            </w:r>
          </w:p>
        </w:tc>
      </w:tr>
    </w:tbl>
    <w:p w:rsidR="00DB518A" w:rsidRDefault="00DB518A">
      <w:pPr>
        <w:spacing w:after="80"/>
      </w:pPr>
    </w:p>
    <w:p w:rsidR="00DB518A" w:rsidRDefault="004B4A53">
      <w:pPr>
        <w:pBdr>
          <w:left w:val="single" w:sz="12" w:space="4" w:color="534AB7"/>
        </w:pBdr>
        <w:shd w:val="clear" w:color="auto" w:fill="FAEEDA"/>
        <w:spacing w:before="80" w:after="120"/>
        <w:ind w:left="200"/>
        <w:jc w:val="both"/>
      </w:pPr>
      <w:r>
        <w:rPr>
          <w:i/>
          <w:sz w:val="19"/>
        </w:rPr>
        <w:t>All packages must be installed dynamically using if (!require(...)) install.packages(...) — never assume they are pre-installed on the evaluator's machine.</w:t>
      </w:r>
    </w:p>
    <w:sectPr w:rsidR="00DB518A"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4AB0"/>
    <w:rsid w:val="00034616"/>
    <w:rsid w:val="0006063C"/>
    <w:rsid w:val="0015074B"/>
    <w:rsid w:val="0029639D"/>
    <w:rsid w:val="00326F90"/>
    <w:rsid w:val="004B4A53"/>
    <w:rsid w:val="00715E2B"/>
    <w:rsid w:val="008B65BF"/>
    <w:rsid w:val="00926A71"/>
    <w:rsid w:val="00AA1D8D"/>
    <w:rsid w:val="00B47730"/>
    <w:rsid w:val="00CB0664"/>
    <w:rsid w:val="00DB51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83F452-4B99-497D-818F-85BB040E3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2285</Words>
  <Characters>13025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Ashraf Uddin</dc:creator>
  <dc:description>generated by python-docx</dc:description>
  <cp:lastModifiedBy>Ashraf</cp:lastModifiedBy>
  <cp:revision>5</cp:revision>
  <cp:lastPrinted>2026-06-25T13:13:00Z</cp:lastPrinted>
  <dcterms:created xsi:type="dcterms:W3CDTF">2026-06-25T13:13:00Z</dcterms:created>
  <dcterms:modified xsi:type="dcterms:W3CDTF">2026-06-25T14:16:00Z</dcterms:modified>
</cp:coreProperties>
</file>