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C6B42"/>
          <w:sz w:val="44"/>
        </w:rPr>
        <w:t>ReMedX: Presentation Slide Content &amp; Speaker Notes</w:t>
      </w:r>
    </w:p>
    <w:p>
      <w:pPr>
        <w:jc w:val="center"/>
      </w:pPr>
      <w:r>
        <w:rPr>
          <w:rFonts w:ascii="Arial" w:hAnsi="Arial"/>
          <w:b/>
          <w:color w:val="0D9488"/>
          <w:sz w:val="24"/>
        </w:rPr>
        <w:t>Healix AI Health Hack 2026 — Track 7: Drug Discovery &amp; Genomics</w:t>
      </w:r>
    </w:p>
    <w:p>
      <w:pPr>
        <w:jc w:val="center"/>
      </w:pPr>
      <w:r>
        <w:rPr>
          <w:rFonts w:ascii="Arial" w:hAnsi="Arial"/>
          <w:i/>
          <w:color w:val="4C6B5A"/>
          <w:sz w:val="20"/>
        </w:rPr>
        <w:t>Comprehensive Slide Deck for Added Research (ADMET, MPO, PAINS, Reverse Lookup, Regulatory 505(b)(2), &amp; NAMs)</w:t>
      </w:r>
    </w:p>
    <w:p>
      <w:pPr>
        <w:spacing w:after="240"/>
      </w:pPr>
    </w:p>
    <w:tbl>
      <w:tblPr>
        <w:tblW w:type="auto" w:w="0"/>
        <w:jc w:val="center"/>
        <w:tblLook w:firstColumn="1" w:firstRow="1" w:lastColumn="0" w:lastRow="0" w:noHBand="0" w:noVBand="1" w:val="04A0"/>
      </w:tblPr>
      <w:tblGrid>
        <w:gridCol w:w="10080"/>
      </w:tblGrid>
      <w:tr>
        <w:tc>
          <w:tcPr>
            <w:tcW w:type="dxa" w:w="10080"/>
            <w:shd w:fill="F4F9F6"/>
            <w:tcMar>
              <w:top w:w="160" w:type="dxa"/>
              <w:bottom w:w="160" w:type="dxa"/>
              <w:left w:w="220" w:type="dxa"/>
              <w:right w:w="220" w:type="dxa"/>
            </w:tcMar>
          </w:tcPr>
          <w:p>
            <w:r>
              <w:rPr>
                <w:b/>
                <w:color w:val="1C6B42"/>
                <w:sz w:val="21"/>
              </w:rPr>
              <w:t>EXECUTIVE SUMMARY FOR PRESENTERS:</w:t>
              <w:br/>
            </w:r>
            <w:r>
              <w:rPr>
                <w:color w:val="0F2A1D"/>
                <w:sz w:val="19"/>
              </w:rPr>
              <w:t>This document compiles all the newly synthesized research dimensions (from research2.md, research&amp;enhancement.md, and system architecture specs) into 10 ready-to-use presentation slides. Each slide contains: exact bullet points for the slide, visual layout recommendations, presenter talking points, and the high-impact competitive edge to emphasize in front of hackathon judges.</w:t>
            </w:r>
          </w:p>
        </w:tc>
      </w:tr>
    </w:tbl>
    <w:p>
      <w:pPr>
        <w:spacing w:after="320"/>
      </w:pPr>
    </w:p>
    <w:p>
      <w:pPr>
        <w:spacing w:after="160"/>
      </w:pPr>
    </w:p>
    <w:tbl>
      <w:tblPr>
        <w:tblW w:type="auto" w:w="0"/>
        <w:jc w:val="center"/>
        <w:tblLook w:firstColumn="1" w:firstRow="1" w:lastColumn="0" w:lastRow="0" w:noHBand="0" w:noVBand="1" w:val="04A0"/>
      </w:tblPr>
      <w:tblGrid>
        <w:gridCol w:w="5040"/>
        <w:gridCol w:w="5040"/>
      </w:tblGrid>
      <w:tr>
        <w:tc>
          <w:tcPr>
            <w:tcW w:type="dxa" w:w="7200"/>
            <w:shd w:fill="1C6B42"/>
            <w:tcMar>
              <w:top w:w="100" w:type="dxa"/>
              <w:bottom w:w="100" w:type="dxa"/>
              <w:left w:w="150" w:type="dxa"/>
              <w:right w:w="150" w:type="dxa"/>
            </w:tcMar>
          </w:tcPr>
          <w:p>
            <w:r>
              <w:rPr>
                <w:rFonts w:ascii="Arial" w:hAnsi="Arial"/>
                <w:b/>
                <w:color w:val="FFFFFF"/>
                <w:sz w:val="26"/>
              </w:rPr>
              <w:t>SLIDE 1: In Silico ADMET Profiling &amp; Broad Endpoint Portfolio</w:t>
            </w:r>
          </w:p>
        </w:tc>
        <w:tc>
          <w:tcPr>
            <w:tcW w:type="dxa" w:w="2880"/>
            <w:shd w:fill="1C6B42"/>
            <w:tcMar>
              <w:top w:w="100" w:type="dxa"/>
              <w:bottom w:w="100" w:type="dxa"/>
              <w:left w:w="150" w:type="dxa"/>
              <w:right w:w="150" w:type="dxa"/>
            </w:tcMar>
          </w:tcPr>
          <w:p>
            <w:pPr>
              <w:jc w:val="right"/>
            </w:pPr>
            <w:r>
              <w:rPr>
                <w:rFonts w:ascii="Arial" w:hAnsi="Arial"/>
                <w:i/>
                <w:color w:val="D2F0E1"/>
                <w:sz w:val="18"/>
              </w:rPr>
              <w:t>Track 7: Deep Bio-Chemistry &amp; Pharmacology</w:t>
            </w:r>
          </w:p>
        </w:tc>
      </w:tr>
    </w:tbl>
    <w:tbl>
      <w:tblPr>
        <w:tblW w:type="auto" w:w="0"/>
        <w:jc w:val="center"/>
        <w:tblLook w:firstColumn="1" w:firstRow="1" w:lastColumn="0" w:lastRow="0" w:noHBand="0" w:noVBand="1" w:val="04A0"/>
      </w:tblPr>
      <w:tblGrid>
        <w:gridCol w:w="10080"/>
      </w:tblGrid>
      <w:tr>
        <w:tc>
          <w:tcPr>
            <w:tcW w:type="dxa" w:w="10080"/>
            <w:shd w:fill="F4F9F6"/>
            <w:tcMar>
              <w:top w:w="140" w:type="dxa"/>
              <w:bottom w:w="140" w:type="dxa"/>
              <w:left w:w="180" w:type="dxa"/>
              <w:right w:w="180" w:type="dxa"/>
            </w:tcMar>
          </w:tcPr>
          <w:p>
            <w:r>
              <w:rPr>
                <w:rFonts w:ascii="Arial" w:hAnsi="Arial"/>
                <w:b/>
                <w:color w:val="1C6B42"/>
                <w:sz w:val="21"/>
              </w:rPr>
              <w:t>SLIDE BULLET POINTS:</w:t>
              <w:br/>
            </w:r>
          </w:p>
        </w:tc>
      </w:tr>
    </w:tbl>
    <w:p>
      <w:pPr>
        <w:pStyle w:val="ListBullet"/>
        <w:spacing w:after="60"/>
      </w:pPr>
      <w:r>
        <w:rPr>
          <w:rFonts w:ascii="Arial" w:hAnsi="Arial"/>
          <w:b/>
          <w:color w:val="0F2A1D"/>
          <w:sz w:val="19"/>
        </w:rPr>
        <w:t>Comprehensive 5-Dimension Pharmacokinetics:</w:t>
      </w:r>
      <w:r>
        <w:rPr>
          <w:rFonts w:ascii="Arial" w:hAnsi="Arial"/>
          <w:color w:val="0F2A1D"/>
          <w:sz w:val="19"/>
        </w:rPr>
        <w:t xml:space="preserve"> Evaluating Absorption, Distribution, Metabolism, Excretion, and Toxicity simultaneously before clinical trials.</w:t>
      </w:r>
    </w:p>
    <w:p>
      <w:pPr>
        <w:pStyle w:val="ListBullet"/>
        <w:spacing w:after="60"/>
      </w:pPr>
      <w:r>
        <w:rPr>
          <w:rFonts w:ascii="Arial" w:hAnsi="Arial"/>
          <w:b/>
          <w:color w:val="0F2A1D"/>
          <w:sz w:val="19"/>
        </w:rPr>
        <w:t>Absorption &amp; Permeability:</w:t>
      </w:r>
      <w:r>
        <w:rPr>
          <w:rFonts w:ascii="Arial" w:hAnsi="Arial"/>
          <w:color w:val="0F2A1D"/>
          <w:sz w:val="19"/>
        </w:rPr>
        <w:t xml:space="preserve"> Human Intestinal Absorption (HIA) % prediction and Caco-2 / MDCK cell membrane permeability.</w:t>
      </w:r>
    </w:p>
    <w:p>
      <w:pPr>
        <w:pStyle w:val="ListBullet"/>
        <w:spacing w:after="60"/>
      </w:pPr>
      <w:r>
        <w:rPr>
          <w:rFonts w:ascii="Arial" w:hAnsi="Arial"/>
          <w:b/>
          <w:color w:val="0F2A1D"/>
          <w:sz w:val="19"/>
        </w:rPr>
        <w:t>Distribution &amp; CNS Penetration:</w:t>
      </w:r>
      <w:r>
        <w:rPr>
          <w:rFonts w:ascii="Arial" w:hAnsi="Arial"/>
          <w:color w:val="0F2A1D"/>
          <w:sz w:val="19"/>
        </w:rPr>
        <w:t xml:space="preserve"> Blood-Brain Barrier (BBB) penetration index and Polar Surface Area (PSA/TPSA) to classify neurological feasibility.</w:t>
      </w:r>
    </w:p>
    <w:p>
      <w:pPr>
        <w:pStyle w:val="ListBullet"/>
        <w:spacing w:after="60"/>
      </w:pPr>
      <w:r>
        <w:rPr>
          <w:rFonts w:ascii="Arial" w:hAnsi="Arial"/>
          <w:b/>
          <w:color w:val="0F2A1D"/>
          <w:sz w:val="19"/>
        </w:rPr>
        <w:t>Metabolism &amp; Clearance:</w:t>
      </w:r>
      <w:r>
        <w:rPr>
          <w:rFonts w:ascii="Arial" w:hAnsi="Arial"/>
          <w:color w:val="0F2A1D"/>
          <w:sz w:val="19"/>
        </w:rPr>
        <w:t xml:space="preserve"> Cytochrome P450 enzyme inhibition &amp; substrates (CYP3A4, CYP2D6, CYP2C9) plus Human Liver Microsomal (HLM) clearance.</w:t>
      </w:r>
    </w:p>
    <w:p>
      <w:pPr>
        <w:pStyle w:val="ListBullet"/>
        <w:spacing w:after="60"/>
      </w:pPr>
      <w:r>
        <w:rPr>
          <w:rFonts w:ascii="Arial" w:hAnsi="Arial"/>
          <w:b/>
          <w:color w:val="0F2A1D"/>
          <w:sz w:val="19"/>
        </w:rPr>
        <w:t>Safety &amp; Toxicity Screening:</w:t>
      </w:r>
      <w:r>
        <w:rPr>
          <w:rFonts w:ascii="Arial" w:hAnsi="Arial"/>
          <w:color w:val="0F2A1D"/>
          <w:sz w:val="19"/>
        </w:rPr>
        <w:t xml:space="preserve"> hERG cardiac potassium channel inhibition (cardiotoxicity/QT risk), Hepatotoxicity (DILI), Ames mutagenicity, and genotoxicity.</w:t>
      </w:r>
    </w:p>
    <w:p>
      <w:pPr>
        <w:pStyle w:val="ListBullet"/>
        <w:spacing w:after="60"/>
      </w:pPr>
      <w:r>
        <w:rPr>
          <w:rFonts w:ascii="Arial" w:hAnsi="Arial"/>
          <w:b/>
          <w:color w:val="0F2A1D"/>
          <w:sz w:val="19"/>
        </w:rPr>
        <w:t>Replacement of Animal Testing (NAMs):</w:t>
      </w:r>
      <w:r>
        <w:rPr>
          <w:rFonts w:ascii="Arial" w:hAnsi="Arial"/>
          <w:color w:val="0F2A1D"/>
          <w:sz w:val="19"/>
        </w:rPr>
        <w:t xml:space="preserve"> Adopting New Approach Methodologies (NAMs) to cut in vivo preclinical animal testing by &gt;70% while improving human translational accuracy.</w:t>
      </w:r>
    </w:p>
    <w:p>
      <w:pPr>
        <w:spacing w:before="120" w:after="40"/>
      </w:pPr>
      <w:r>
        <w:rPr>
          <w:rFonts w:ascii="Arial" w:hAnsi="Arial"/>
          <w:b/>
          <w:color w:val="0D9488"/>
          <w:sz w:val="18"/>
        </w:rPr>
        <w:t xml:space="preserve">📊 Recommended Visual: </w:t>
      </w:r>
      <w:r>
        <w:rPr>
          <w:rFonts w:ascii="Arial" w:hAnsi="Arial"/>
          <w:color w:val="0F2A1D"/>
          <w:sz w:val="18"/>
        </w:rPr>
        <w:t>5-Pillar ADMET Infographic (Icons for Gut/HIA, Brain/BBB, Liver/CYP, Heart/hERG, DNA/Ames) with 'Passed' / 'High Confidence' badges.</w:t>
        <w:br/>
      </w:r>
      <w:r>
        <w:rPr>
          <w:rFonts w:ascii="Arial" w:hAnsi="Arial"/>
          <w:b/>
          <w:color w:val="B45309"/>
          <w:sz w:val="18"/>
        </w:rPr>
        <w:t xml:space="preserve">🎙️ Speaker Notes: </w:t>
      </w:r>
      <w:r>
        <w:rPr>
          <w:rFonts w:ascii="Arial" w:hAnsi="Arial"/>
          <w:i/>
          <w:color w:val="0F2A1D"/>
          <w:sz w:val="18"/>
        </w:rPr>
        <w:t>Judges want to see that ReMedX doesn't just match target proteins blindly. Anyone can query an API; ReMedX evaluates whether the compound will actually survive the human body. Explain how in silico ADMET eliminates toxic or non-absorbable candidates on day 1, supporting global NAMs initiatives.</w:t>
        <w:br/>
      </w:r>
      <w:r>
        <w:rPr>
          <w:rFonts w:ascii="Arial" w:hAnsi="Arial"/>
          <w:b/>
          <w:color w:val="1C6B42"/>
          <w:sz w:val="18"/>
        </w:rPr>
        <w:t xml:space="preserve">🏆 Competitive Edge: </w:t>
      </w:r>
      <w:r>
        <w:rPr>
          <w:rFonts w:ascii="Arial" w:hAnsi="Arial"/>
          <w:b/>
          <w:color w:val="0F2A1D"/>
          <w:sz w:val="18"/>
        </w:rPr>
        <w:t>Demonstrates full-spectrum translational chemistry beyond simple target association.</w:t>
      </w:r>
    </w:p>
    <w:p>
      <w:pPr>
        <w:spacing w:after="240"/>
      </w:pPr>
    </w:p>
    <w:p>
      <w:pPr>
        <w:spacing w:after="160"/>
      </w:pPr>
    </w:p>
    <w:tbl>
      <w:tblPr>
        <w:tblW w:type="auto" w:w="0"/>
        <w:jc w:val="center"/>
        <w:tblLook w:firstColumn="1" w:firstRow="1" w:lastColumn="0" w:lastRow="0" w:noHBand="0" w:noVBand="1" w:val="04A0"/>
      </w:tblPr>
      <w:tblGrid>
        <w:gridCol w:w="5040"/>
        <w:gridCol w:w="5040"/>
      </w:tblGrid>
      <w:tr>
        <w:tc>
          <w:tcPr>
            <w:tcW w:type="dxa" w:w="7200"/>
            <w:shd w:fill="1C6B42"/>
            <w:tcMar>
              <w:top w:w="100" w:type="dxa"/>
              <w:bottom w:w="100" w:type="dxa"/>
              <w:left w:w="150" w:type="dxa"/>
              <w:right w:w="150" w:type="dxa"/>
            </w:tcMar>
          </w:tcPr>
          <w:p>
            <w:r>
              <w:rPr>
                <w:rFonts w:ascii="Arial" w:hAnsi="Arial"/>
                <w:b/>
                <w:color w:val="FFFFFF"/>
                <w:sz w:val="26"/>
              </w:rPr>
              <w:t>SLIDE 2: Multi-Parameter Optimization (MPO) &amp; Automated Modelling</w:t>
            </w:r>
          </w:p>
        </w:tc>
        <w:tc>
          <w:tcPr>
            <w:tcW w:type="dxa" w:w="2880"/>
            <w:shd w:fill="1C6B42"/>
            <w:tcMar>
              <w:top w:w="100" w:type="dxa"/>
              <w:bottom w:w="100" w:type="dxa"/>
              <w:left w:w="150" w:type="dxa"/>
              <w:right w:w="150" w:type="dxa"/>
            </w:tcMar>
          </w:tcPr>
          <w:p>
            <w:pPr>
              <w:jc w:val="right"/>
            </w:pPr>
            <w:r>
              <w:rPr>
                <w:rFonts w:ascii="Arial" w:hAnsi="Arial"/>
                <w:i/>
                <w:color w:val="D2F0E1"/>
                <w:sz w:val="18"/>
              </w:rPr>
              <w:t>Cheminformatics &amp; AI Algorithm Architecture</w:t>
            </w:r>
          </w:p>
        </w:tc>
      </w:tr>
    </w:tbl>
    <w:tbl>
      <w:tblPr>
        <w:tblW w:type="auto" w:w="0"/>
        <w:jc w:val="center"/>
        <w:tblLook w:firstColumn="1" w:firstRow="1" w:lastColumn="0" w:lastRow="0" w:noHBand="0" w:noVBand="1" w:val="04A0"/>
      </w:tblPr>
      <w:tblGrid>
        <w:gridCol w:w="10080"/>
      </w:tblGrid>
      <w:tr>
        <w:tc>
          <w:tcPr>
            <w:tcW w:type="dxa" w:w="10080"/>
            <w:shd w:fill="F4F9F6"/>
            <w:tcMar>
              <w:top w:w="140" w:type="dxa"/>
              <w:bottom w:w="140" w:type="dxa"/>
              <w:left w:w="180" w:type="dxa"/>
              <w:right w:w="180" w:type="dxa"/>
            </w:tcMar>
          </w:tcPr>
          <w:p>
            <w:r>
              <w:rPr>
                <w:rFonts w:ascii="Arial" w:hAnsi="Arial"/>
                <w:b/>
                <w:color w:val="1C6B42"/>
                <w:sz w:val="21"/>
              </w:rPr>
              <w:t>SLIDE BULLET POINTS:</w:t>
              <w:br/>
            </w:r>
          </w:p>
        </w:tc>
      </w:tr>
    </w:tbl>
    <w:p>
      <w:pPr>
        <w:pStyle w:val="ListBullet"/>
        <w:spacing w:after="60"/>
      </w:pPr>
      <w:r>
        <w:rPr>
          <w:rFonts w:ascii="Arial" w:hAnsi="Arial"/>
          <w:b/>
          <w:color w:val="0F2A1D"/>
          <w:sz w:val="19"/>
        </w:rPr>
        <w:t>The Multi-Objective Dilemma:</w:t>
      </w:r>
      <w:r>
        <w:rPr>
          <w:rFonts w:ascii="Arial" w:hAnsi="Arial"/>
          <w:color w:val="0F2A1D"/>
          <w:sz w:val="19"/>
        </w:rPr>
        <w:t xml:space="preserve"> Maximizing target binding potency alone often leads to catastrophic insolubility, rapid hepatic clearance, or toxic off-target accumulation.</w:t>
      </w:r>
    </w:p>
    <w:p>
      <w:pPr>
        <w:pStyle w:val="ListBullet"/>
        <w:spacing w:after="60"/>
      </w:pPr>
      <w:r>
        <w:rPr>
          <w:rFonts w:ascii="Arial" w:hAnsi="Arial"/>
          <w:b/>
          <w:color w:val="0F2A1D"/>
          <w:sz w:val="19"/>
        </w:rPr>
        <w:t>StarDrop-Style MPO Algorithm:</w:t>
      </w:r>
      <w:r>
        <w:rPr>
          <w:rFonts w:ascii="Arial" w:hAnsi="Arial"/>
          <w:color w:val="0F2A1D"/>
          <w:sz w:val="19"/>
        </w:rPr>
        <w:t xml:space="preserve"> Mathematical scoring that weights potency, Lipinski oral drug-likeness, metabolic stability, and safety margins into a single composite Desirability Index (0.0 to 1.0).</w:t>
      </w:r>
    </w:p>
    <w:p>
      <w:pPr>
        <w:pStyle w:val="ListBullet"/>
        <w:spacing w:after="60"/>
      </w:pPr>
      <w:r>
        <w:rPr>
          <w:rFonts w:ascii="Arial" w:hAnsi="Arial"/>
          <w:b/>
          <w:color w:val="0F2A1D"/>
          <w:sz w:val="19"/>
        </w:rPr>
        <w:t>Auto-Modeller &amp; Deep Learning GCNs:</w:t>
      </w:r>
      <w:r>
        <w:rPr>
          <w:rFonts w:ascii="Arial" w:hAnsi="Arial"/>
          <w:color w:val="0F2A1D"/>
          <w:sz w:val="19"/>
        </w:rPr>
        <w:t xml:space="preserve"> Utilizing Multitask Graph Convolutional Networks (like Schrödinger AutoQSAR and DMPNN frameworks) to predict multiple endpoints from molecular graphs.</w:t>
      </w:r>
    </w:p>
    <w:p>
      <w:pPr>
        <w:pStyle w:val="ListBullet"/>
        <w:spacing w:after="60"/>
      </w:pPr>
      <w:r>
        <w:rPr>
          <w:rFonts w:ascii="Arial" w:hAnsi="Arial"/>
          <w:b/>
          <w:color w:val="0F2A1D"/>
          <w:sz w:val="19"/>
        </w:rPr>
        <w:t>Overcoming 'Garbage In, Garbage Out':</w:t>
      </w:r>
      <w:r>
        <w:rPr>
          <w:rFonts w:ascii="Arial" w:hAnsi="Arial"/>
          <w:color w:val="0F2A1D"/>
          <w:sz w:val="19"/>
        </w:rPr>
        <w:t xml:space="preserve"> Training exclusively on high-resolution curated datasets (&gt;5,000 bioactivity points) to prevent bias and ensure mechanistic interpretability.</w:t>
      </w:r>
    </w:p>
    <w:p>
      <w:pPr>
        <w:pStyle w:val="ListBullet"/>
        <w:spacing w:after="60"/>
      </w:pPr>
      <w:r>
        <w:rPr>
          <w:rFonts w:ascii="Arial" w:hAnsi="Arial"/>
          <w:b/>
          <w:color w:val="0F2A1D"/>
          <w:sz w:val="19"/>
        </w:rPr>
        <w:t>Instant Pareto Optimization:</w:t>
      </w:r>
      <w:r>
        <w:rPr>
          <w:rFonts w:ascii="Arial" w:hAnsi="Arial"/>
          <w:color w:val="0F2A1D"/>
          <w:sz w:val="19"/>
        </w:rPr>
        <w:t xml:space="preserve"> Researchers can instantly visualize trade-off frontiers between therapeutic efficacy and clinical safety.</w:t>
      </w:r>
    </w:p>
    <w:p>
      <w:pPr>
        <w:spacing w:before="120" w:after="40"/>
      </w:pPr>
      <w:r>
        <w:rPr>
          <w:rFonts w:ascii="Arial" w:hAnsi="Arial"/>
          <w:b/>
          <w:color w:val="0D9488"/>
          <w:sz w:val="18"/>
        </w:rPr>
        <w:t xml:space="preserve">📊 Recommended Visual: </w:t>
      </w:r>
      <w:r>
        <w:rPr>
          <w:rFonts w:ascii="Arial" w:hAnsi="Arial"/>
          <w:color w:val="0F2A1D"/>
          <w:sz w:val="18"/>
        </w:rPr>
        <w:t>Multi-axis Radar Chart showing candidate compound vs. benchmark drug across Potency, Solubility, Permeability, Safety, and Stability.</w:t>
        <w:br/>
      </w:r>
      <w:r>
        <w:rPr>
          <w:rFonts w:ascii="Arial" w:hAnsi="Arial"/>
          <w:b/>
          <w:color w:val="B45309"/>
          <w:sz w:val="18"/>
        </w:rPr>
        <w:t xml:space="preserve">🎙️ Speaker Notes: </w:t>
      </w:r>
      <w:r>
        <w:rPr>
          <w:rFonts w:ascii="Arial" w:hAnsi="Arial"/>
          <w:i/>
          <w:color w:val="0F2A1D"/>
          <w:sz w:val="18"/>
        </w:rPr>
        <w:t>Point out the concept of Multi-Parameter Optimization (MPO). Emphasize that finding a drug isn't about the highest binding affinity; it's about finding the Pareto-optimal molecule that balances potency with metabolic stability and low toxicity.</w:t>
        <w:br/>
      </w:r>
      <w:r>
        <w:rPr>
          <w:rFonts w:ascii="Arial" w:hAnsi="Arial"/>
          <w:b/>
          <w:color w:val="1C6B42"/>
          <w:sz w:val="18"/>
        </w:rPr>
        <w:t xml:space="preserve">🏆 Competitive Edge: </w:t>
      </w:r>
      <w:r>
        <w:rPr>
          <w:rFonts w:ascii="Arial" w:hAnsi="Arial"/>
          <w:b/>
          <w:color w:val="0F2A1D"/>
          <w:sz w:val="18"/>
        </w:rPr>
        <w:t>Positions ReMedX alongside enterprise computational biology platforms like Optibrium StarDrop.</w:t>
      </w:r>
    </w:p>
    <w:p>
      <w:pPr>
        <w:spacing w:after="240"/>
      </w:pPr>
    </w:p>
    <w:p>
      <w:pPr>
        <w:spacing w:after="160"/>
      </w:pPr>
    </w:p>
    <w:tbl>
      <w:tblPr>
        <w:tblW w:type="auto" w:w="0"/>
        <w:jc w:val="center"/>
        <w:tblLook w:firstColumn="1" w:firstRow="1" w:lastColumn="0" w:lastRow="0" w:noHBand="0" w:noVBand="1" w:val="04A0"/>
      </w:tblPr>
      <w:tblGrid>
        <w:gridCol w:w="5040"/>
        <w:gridCol w:w="5040"/>
      </w:tblGrid>
      <w:tr>
        <w:tc>
          <w:tcPr>
            <w:tcW w:type="dxa" w:w="7200"/>
            <w:shd w:fill="1C6B42"/>
            <w:tcMar>
              <w:top w:w="100" w:type="dxa"/>
              <w:bottom w:w="100" w:type="dxa"/>
              <w:left w:w="150" w:type="dxa"/>
              <w:right w:w="150" w:type="dxa"/>
            </w:tcMar>
          </w:tcPr>
          <w:p>
            <w:r>
              <w:rPr>
                <w:rFonts w:ascii="Arial" w:hAnsi="Arial"/>
                <w:b/>
                <w:color w:val="FFFFFF"/>
                <w:sz w:val="26"/>
              </w:rPr>
              <w:t>SLIDE 3: Competitive Benchmarking: ReMedX vs. Industry Giants</w:t>
            </w:r>
          </w:p>
        </w:tc>
        <w:tc>
          <w:tcPr>
            <w:tcW w:type="dxa" w:w="2880"/>
            <w:shd w:fill="1C6B42"/>
            <w:tcMar>
              <w:top w:w="100" w:type="dxa"/>
              <w:bottom w:w="100" w:type="dxa"/>
              <w:left w:w="150" w:type="dxa"/>
              <w:right w:w="150" w:type="dxa"/>
            </w:tcMar>
          </w:tcPr>
          <w:p>
            <w:pPr>
              <w:jc w:val="right"/>
            </w:pPr>
            <w:r>
              <w:rPr>
                <w:rFonts w:ascii="Arial" w:hAnsi="Arial"/>
                <w:i/>
                <w:color w:val="D2F0E1"/>
                <w:sz w:val="18"/>
              </w:rPr>
              <w:t>Market Validation &amp; Differentiation</w:t>
            </w:r>
          </w:p>
        </w:tc>
      </w:tr>
    </w:tbl>
    <w:tbl>
      <w:tblPr>
        <w:tblW w:type="auto" w:w="0"/>
        <w:jc w:val="center"/>
        <w:tblLook w:firstColumn="1" w:firstRow="1" w:lastColumn="0" w:lastRow="0" w:noHBand="0" w:noVBand="1" w:val="04A0"/>
      </w:tblPr>
      <w:tblGrid>
        <w:gridCol w:w="10080"/>
      </w:tblGrid>
      <w:tr>
        <w:tc>
          <w:tcPr>
            <w:tcW w:type="dxa" w:w="10080"/>
            <w:shd w:fill="F4F9F6"/>
            <w:tcMar>
              <w:top w:w="140" w:type="dxa"/>
              <w:bottom w:w="140" w:type="dxa"/>
              <w:left w:w="180" w:type="dxa"/>
              <w:right w:w="180" w:type="dxa"/>
            </w:tcMar>
          </w:tcPr>
          <w:p>
            <w:r>
              <w:rPr>
                <w:rFonts w:ascii="Arial" w:hAnsi="Arial"/>
                <w:b/>
                <w:color w:val="1C6B42"/>
                <w:sz w:val="21"/>
              </w:rPr>
              <w:t>SLIDE BULLET POINTS:</w:t>
              <w:br/>
            </w:r>
          </w:p>
        </w:tc>
      </w:tr>
    </w:tbl>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60" w:type="dxa"/>
              <w:bottom w:w="60" w:type="dxa"/>
              <w:left w:w="80" w:type="dxa"/>
              <w:right w:w="80" w:type="dxa"/>
            </w:tcMar>
            <w:shd w:fill="E0EFE7"/>
          </w:tcPr>
          <w:p>
            <w:r>
              <w:rPr>
                <w:rFonts w:ascii="Arial" w:hAnsi="Arial"/>
                <w:b/>
                <w:color w:val="1C6B42"/>
                <w:sz w:val="17"/>
              </w:rPr>
              <w:t>Platform</w:t>
            </w:r>
          </w:p>
        </w:tc>
        <w:tc>
          <w:tcPr>
            <w:tcW w:type="dxa" w:w="2016"/>
            <w:tcMar>
              <w:top w:w="60" w:type="dxa"/>
              <w:bottom w:w="60" w:type="dxa"/>
              <w:left w:w="80" w:type="dxa"/>
              <w:right w:w="80" w:type="dxa"/>
            </w:tcMar>
            <w:shd w:fill="E0EFE7"/>
          </w:tcPr>
          <w:p>
            <w:r>
              <w:rPr>
                <w:rFonts w:ascii="Arial" w:hAnsi="Arial"/>
                <w:b/>
                <w:color w:val="1C6B42"/>
                <w:sz w:val="17"/>
              </w:rPr>
              <w:t>Core Technology</w:t>
            </w:r>
          </w:p>
        </w:tc>
        <w:tc>
          <w:tcPr>
            <w:tcW w:type="dxa" w:w="2016"/>
            <w:tcMar>
              <w:top w:w="60" w:type="dxa"/>
              <w:bottom w:w="60" w:type="dxa"/>
              <w:left w:w="80" w:type="dxa"/>
              <w:right w:w="80" w:type="dxa"/>
            </w:tcMar>
            <w:shd w:fill="E0EFE7"/>
          </w:tcPr>
          <w:p>
            <w:r>
              <w:rPr>
                <w:rFonts w:ascii="Arial" w:hAnsi="Arial"/>
                <w:b/>
                <w:color w:val="1C6B42"/>
                <w:sz w:val="17"/>
              </w:rPr>
              <w:t>Endpoints / Coverage</w:t>
            </w:r>
          </w:p>
        </w:tc>
        <w:tc>
          <w:tcPr>
            <w:tcW w:type="dxa" w:w="2016"/>
            <w:tcMar>
              <w:top w:w="60" w:type="dxa"/>
              <w:bottom w:w="60" w:type="dxa"/>
              <w:left w:w="80" w:type="dxa"/>
              <w:right w:w="80" w:type="dxa"/>
            </w:tcMar>
            <w:shd w:fill="E0EFE7"/>
          </w:tcPr>
          <w:p>
            <w:r>
              <w:rPr>
                <w:rFonts w:ascii="Arial" w:hAnsi="Arial"/>
                <w:b/>
                <w:color w:val="1C6B42"/>
                <w:sz w:val="17"/>
              </w:rPr>
              <w:t>Cost &amp; Accessibility</w:t>
            </w:r>
          </w:p>
        </w:tc>
        <w:tc>
          <w:tcPr>
            <w:tcW w:type="dxa" w:w="2016"/>
            <w:tcMar>
              <w:top w:w="60" w:type="dxa"/>
              <w:bottom w:w="60" w:type="dxa"/>
              <w:left w:w="80" w:type="dxa"/>
              <w:right w:w="80" w:type="dxa"/>
            </w:tcMar>
            <w:shd w:fill="E0EFE7"/>
          </w:tcPr>
          <w:p>
            <w:r>
              <w:rPr>
                <w:rFonts w:ascii="Arial" w:hAnsi="Arial"/>
                <w:b/>
                <w:color w:val="1C6B42"/>
                <w:sz w:val="17"/>
              </w:rPr>
              <w:t>Hallucination Risk</w:t>
            </w:r>
          </w:p>
        </w:tc>
      </w:tr>
      <w:tr>
        <w:tc>
          <w:tcPr>
            <w:tcW w:type="dxa" w:w="2016"/>
            <w:tcMar>
              <w:top w:w="60" w:type="dxa"/>
              <w:bottom w:w="60" w:type="dxa"/>
              <w:left w:w="80" w:type="dxa"/>
              <w:right w:w="80" w:type="dxa"/>
            </w:tcMar>
          </w:tcPr>
          <w:p>
            <w:r>
              <w:rPr>
                <w:rFonts w:ascii="Arial" w:hAnsi="Arial"/>
                <w:color w:val="0F2A1D"/>
                <w:sz w:val="16"/>
              </w:rPr>
              <w:t>StarDrop (Optibrium)</w:t>
            </w:r>
          </w:p>
        </w:tc>
        <w:tc>
          <w:tcPr>
            <w:tcW w:type="dxa" w:w="2016"/>
            <w:tcMar>
              <w:top w:w="60" w:type="dxa"/>
              <w:bottom w:w="60" w:type="dxa"/>
              <w:left w:w="80" w:type="dxa"/>
              <w:right w:w="80" w:type="dxa"/>
            </w:tcMar>
          </w:tcPr>
          <w:p>
            <w:r>
              <w:rPr>
                <w:rFonts w:ascii="Arial" w:hAnsi="Arial"/>
                <w:color w:val="0F2A1D"/>
                <w:sz w:val="16"/>
              </w:rPr>
              <w:t>QSAR (RF, GP, PLS) + MPO</w:t>
            </w:r>
          </w:p>
        </w:tc>
        <w:tc>
          <w:tcPr>
            <w:tcW w:type="dxa" w:w="2016"/>
            <w:tcMar>
              <w:top w:w="60" w:type="dxa"/>
              <w:bottom w:w="60" w:type="dxa"/>
              <w:left w:w="80" w:type="dxa"/>
              <w:right w:w="80" w:type="dxa"/>
            </w:tcMar>
          </w:tcPr>
          <w:p>
            <w:r>
              <w:rPr>
                <w:rFonts w:ascii="Arial" w:hAnsi="Arial"/>
                <w:color w:val="0F2A1D"/>
                <w:sz w:val="16"/>
              </w:rPr>
              <w:t>Physchem, ADME, Multi-SAR</w:t>
            </w:r>
          </w:p>
        </w:tc>
        <w:tc>
          <w:tcPr>
            <w:tcW w:type="dxa" w:w="2016"/>
            <w:tcMar>
              <w:top w:w="60" w:type="dxa"/>
              <w:bottom w:w="60" w:type="dxa"/>
              <w:left w:w="80" w:type="dxa"/>
              <w:right w:w="80" w:type="dxa"/>
            </w:tcMar>
          </w:tcPr>
          <w:p>
            <w:r>
              <w:rPr>
                <w:rFonts w:ascii="Arial" w:hAnsi="Arial"/>
                <w:color w:val="0F2A1D"/>
                <w:sz w:val="16"/>
              </w:rPr>
              <w:t>High-cost Desktop License</w:t>
            </w:r>
          </w:p>
        </w:tc>
        <w:tc>
          <w:tcPr>
            <w:tcW w:type="dxa" w:w="2016"/>
            <w:tcMar>
              <w:top w:w="60" w:type="dxa"/>
              <w:bottom w:w="60" w:type="dxa"/>
              <w:left w:w="80" w:type="dxa"/>
              <w:right w:w="80" w:type="dxa"/>
            </w:tcMar>
          </w:tcPr>
          <w:p>
            <w:r>
              <w:rPr>
                <w:rFonts w:ascii="Arial" w:hAnsi="Arial"/>
                <w:color w:val="0F2A1D"/>
                <w:sz w:val="16"/>
              </w:rPr>
              <w:t>High manual tuning</w:t>
            </w:r>
          </w:p>
        </w:tc>
      </w:tr>
      <w:tr>
        <w:tc>
          <w:tcPr>
            <w:tcW w:type="dxa" w:w="2016"/>
            <w:tcMar>
              <w:top w:w="60" w:type="dxa"/>
              <w:bottom w:w="60" w:type="dxa"/>
              <w:left w:w="80" w:type="dxa"/>
              <w:right w:w="80" w:type="dxa"/>
            </w:tcMar>
          </w:tcPr>
          <w:p>
            <w:r>
              <w:rPr>
                <w:rFonts w:ascii="Arial" w:hAnsi="Arial"/>
                <w:color w:val="0F2A1D"/>
                <w:sz w:val="16"/>
              </w:rPr>
              <w:t>ADMET Predictor 12</w:t>
            </w:r>
          </w:p>
        </w:tc>
        <w:tc>
          <w:tcPr>
            <w:tcW w:type="dxa" w:w="2016"/>
            <w:tcMar>
              <w:top w:w="60" w:type="dxa"/>
              <w:bottom w:w="60" w:type="dxa"/>
              <w:left w:w="80" w:type="dxa"/>
              <w:right w:w="80" w:type="dxa"/>
            </w:tcMar>
          </w:tcPr>
          <w:p>
            <w:r>
              <w:rPr>
                <w:rFonts w:ascii="Arial" w:hAnsi="Arial"/>
                <w:color w:val="0F2A1D"/>
                <w:sz w:val="16"/>
              </w:rPr>
              <w:t>ANN, RF, PLS + GastroPlus</w:t>
            </w:r>
          </w:p>
        </w:tc>
        <w:tc>
          <w:tcPr>
            <w:tcW w:type="dxa" w:w="2016"/>
            <w:tcMar>
              <w:top w:w="60" w:type="dxa"/>
              <w:bottom w:w="60" w:type="dxa"/>
              <w:left w:w="80" w:type="dxa"/>
              <w:right w:w="80" w:type="dxa"/>
            </w:tcMar>
          </w:tcPr>
          <w:p>
            <w:r>
              <w:rPr>
                <w:rFonts w:ascii="Arial" w:hAnsi="Arial"/>
                <w:color w:val="0F2A1D"/>
                <w:sz w:val="16"/>
              </w:rPr>
              <w:t>SOM, Ames, hERG, Clearance</w:t>
            </w:r>
          </w:p>
        </w:tc>
        <w:tc>
          <w:tcPr>
            <w:tcW w:type="dxa" w:w="2016"/>
            <w:tcMar>
              <w:top w:w="60" w:type="dxa"/>
              <w:bottom w:w="60" w:type="dxa"/>
              <w:left w:w="80" w:type="dxa"/>
              <w:right w:w="80" w:type="dxa"/>
            </w:tcMar>
          </w:tcPr>
          <w:p>
            <w:r>
              <w:rPr>
                <w:rFonts w:ascii="Arial" w:hAnsi="Arial"/>
                <w:color w:val="0F2A1D"/>
                <w:sz w:val="16"/>
              </w:rPr>
              <w:t>Enterprise Commercial</w:t>
            </w:r>
          </w:p>
        </w:tc>
        <w:tc>
          <w:tcPr>
            <w:tcW w:type="dxa" w:w="2016"/>
            <w:tcMar>
              <w:top w:w="60" w:type="dxa"/>
              <w:bottom w:w="60" w:type="dxa"/>
              <w:left w:w="80" w:type="dxa"/>
              <w:right w:w="80" w:type="dxa"/>
            </w:tcMar>
          </w:tcPr>
          <w:p>
            <w:r>
              <w:rPr>
                <w:rFonts w:ascii="Arial" w:hAnsi="Arial"/>
                <w:color w:val="0F2A1D"/>
                <w:sz w:val="16"/>
              </w:rPr>
              <w:t>Opaque black-box ML</w:t>
            </w:r>
          </w:p>
        </w:tc>
      </w:tr>
      <w:tr>
        <w:tc>
          <w:tcPr>
            <w:tcW w:type="dxa" w:w="2016"/>
            <w:tcMar>
              <w:top w:w="60" w:type="dxa"/>
              <w:bottom w:w="60" w:type="dxa"/>
              <w:left w:w="80" w:type="dxa"/>
              <w:right w:w="80" w:type="dxa"/>
            </w:tcMar>
          </w:tcPr>
          <w:p>
            <w:r>
              <w:rPr>
                <w:rFonts w:ascii="Arial" w:hAnsi="Arial"/>
                <w:color w:val="0F2A1D"/>
                <w:sz w:val="16"/>
              </w:rPr>
              <w:t>ADMETlab 3.0</w:t>
            </w:r>
          </w:p>
        </w:tc>
        <w:tc>
          <w:tcPr>
            <w:tcW w:type="dxa" w:w="2016"/>
            <w:tcMar>
              <w:top w:w="60" w:type="dxa"/>
              <w:bottom w:w="60" w:type="dxa"/>
              <w:left w:w="80" w:type="dxa"/>
              <w:right w:w="80" w:type="dxa"/>
            </w:tcMar>
          </w:tcPr>
          <w:p>
            <w:r>
              <w:rPr>
                <w:rFonts w:ascii="Arial" w:hAnsi="Arial"/>
                <w:color w:val="0F2A1D"/>
                <w:sz w:val="16"/>
              </w:rPr>
              <w:t>DMPNN-Des Framework</w:t>
            </w:r>
          </w:p>
        </w:tc>
        <w:tc>
          <w:tcPr>
            <w:tcW w:type="dxa" w:w="2016"/>
            <w:tcMar>
              <w:top w:w="60" w:type="dxa"/>
              <w:bottom w:w="60" w:type="dxa"/>
              <w:left w:w="80" w:type="dxa"/>
              <w:right w:w="80" w:type="dxa"/>
            </w:tcMar>
          </w:tcPr>
          <w:p>
            <w:r>
              <w:rPr>
                <w:rFonts w:ascii="Arial" w:hAnsi="Arial"/>
                <w:color w:val="0F2A1D"/>
                <w:sz w:val="16"/>
              </w:rPr>
              <w:t>119 Physicochemical/Tox</w:t>
            </w:r>
          </w:p>
        </w:tc>
        <w:tc>
          <w:tcPr>
            <w:tcW w:type="dxa" w:w="2016"/>
            <w:tcMar>
              <w:top w:w="60" w:type="dxa"/>
              <w:bottom w:w="60" w:type="dxa"/>
              <w:left w:w="80" w:type="dxa"/>
              <w:right w:w="80" w:type="dxa"/>
            </w:tcMar>
          </w:tcPr>
          <w:p>
            <w:r>
              <w:rPr>
                <w:rFonts w:ascii="Arial" w:hAnsi="Arial"/>
                <w:color w:val="0F2A1D"/>
                <w:sz w:val="16"/>
              </w:rPr>
              <w:t>Free Academic Web/API</w:t>
            </w:r>
          </w:p>
        </w:tc>
        <w:tc>
          <w:tcPr>
            <w:tcW w:type="dxa" w:w="2016"/>
            <w:tcMar>
              <w:top w:w="60" w:type="dxa"/>
              <w:bottom w:w="60" w:type="dxa"/>
              <w:left w:w="80" w:type="dxa"/>
              <w:right w:w="80" w:type="dxa"/>
            </w:tcMar>
          </w:tcPr>
          <w:p>
            <w:r>
              <w:rPr>
                <w:rFonts w:ascii="Arial" w:hAnsi="Arial"/>
                <w:color w:val="0F2A1D"/>
                <w:sz w:val="16"/>
              </w:rPr>
              <w:t>No LLM Synthesis</w:t>
            </w:r>
          </w:p>
        </w:tc>
      </w:tr>
      <w:tr>
        <w:tc>
          <w:tcPr>
            <w:tcW w:type="dxa" w:w="2016"/>
            <w:tcMar>
              <w:top w:w="60" w:type="dxa"/>
              <w:bottom w:w="60" w:type="dxa"/>
              <w:left w:w="80" w:type="dxa"/>
              <w:right w:w="80" w:type="dxa"/>
            </w:tcMar>
          </w:tcPr>
          <w:p>
            <w:r>
              <w:rPr>
                <w:rFonts w:ascii="Arial" w:hAnsi="Arial"/>
                <w:color w:val="0F2A1D"/>
                <w:sz w:val="16"/>
              </w:rPr>
              <w:t>Schrödinger (QikProp)</w:t>
            </w:r>
          </w:p>
        </w:tc>
        <w:tc>
          <w:tcPr>
            <w:tcW w:type="dxa" w:w="2016"/>
            <w:tcMar>
              <w:top w:w="60" w:type="dxa"/>
              <w:bottom w:w="60" w:type="dxa"/>
              <w:left w:w="80" w:type="dxa"/>
              <w:right w:w="80" w:type="dxa"/>
            </w:tcMar>
          </w:tcPr>
          <w:p>
            <w:r>
              <w:rPr>
                <w:rFonts w:ascii="Arial" w:hAnsi="Arial"/>
                <w:color w:val="0F2A1D"/>
                <w:sz w:val="16"/>
              </w:rPr>
              <w:t>Physics Descriptors + GCN</w:t>
            </w:r>
          </w:p>
        </w:tc>
        <w:tc>
          <w:tcPr>
            <w:tcW w:type="dxa" w:w="2016"/>
            <w:tcMar>
              <w:top w:w="60" w:type="dxa"/>
              <w:bottom w:w="60" w:type="dxa"/>
              <w:left w:w="80" w:type="dxa"/>
              <w:right w:w="80" w:type="dxa"/>
            </w:tcMar>
          </w:tcPr>
          <w:p>
            <w:r>
              <w:rPr>
                <w:rFonts w:ascii="Arial" w:hAnsi="Arial"/>
                <w:color w:val="0F2A1D"/>
                <w:sz w:val="16"/>
              </w:rPr>
              <w:t>60+ empirical properties</w:t>
            </w:r>
          </w:p>
        </w:tc>
        <w:tc>
          <w:tcPr>
            <w:tcW w:type="dxa" w:w="2016"/>
            <w:tcMar>
              <w:top w:w="60" w:type="dxa"/>
              <w:bottom w:w="60" w:type="dxa"/>
              <w:left w:w="80" w:type="dxa"/>
              <w:right w:w="80" w:type="dxa"/>
            </w:tcMar>
          </w:tcPr>
          <w:p>
            <w:r>
              <w:rPr>
                <w:rFonts w:ascii="Arial" w:hAnsi="Arial"/>
                <w:color w:val="0F2A1D"/>
                <w:sz w:val="16"/>
              </w:rPr>
              <w:t>Proprietary Commercial</w:t>
            </w:r>
          </w:p>
        </w:tc>
        <w:tc>
          <w:tcPr>
            <w:tcW w:type="dxa" w:w="2016"/>
            <w:tcMar>
              <w:top w:w="60" w:type="dxa"/>
              <w:bottom w:w="60" w:type="dxa"/>
              <w:left w:w="80" w:type="dxa"/>
              <w:right w:w="80" w:type="dxa"/>
            </w:tcMar>
          </w:tcPr>
          <w:p>
            <w:r>
              <w:rPr>
                <w:rFonts w:ascii="Arial" w:hAnsi="Arial"/>
                <w:color w:val="0F2A1D"/>
                <w:sz w:val="16"/>
              </w:rPr>
              <w:t>Closed ecosystem</w:t>
            </w:r>
          </w:p>
        </w:tc>
      </w:tr>
      <w:tr>
        <w:tc>
          <w:tcPr>
            <w:tcW w:type="dxa" w:w="2016"/>
            <w:tcMar>
              <w:top w:w="60" w:type="dxa"/>
              <w:bottom w:w="60" w:type="dxa"/>
              <w:left w:w="80" w:type="dxa"/>
              <w:right w:w="80" w:type="dxa"/>
            </w:tcMar>
          </w:tcPr>
          <w:p>
            <w:r>
              <w:rPr>
                <w:rFonts w:ascii="Arial" w:hAnsi="Arial"/>
                <w:color w:val="0F2A1D"/>
                <w:sz w:val="16"/>
              </w:rPr>
              <w:t>ReMedX (Our Solution)</w:t>
            </w:r>
          </w:p>
        </w:tc>
        <w:tc>
          <w:tcPr>
            <w:tcW w:type="dxa" w:w="2016"/>
            <w:tcMar>
              <w:top w:w="60" w:type="dxa"/>
              <w:bottom w:w="60" w:type="dxa"/>
              <w:left w:w="80" w:type="dxa"/>
              <w:right w:w="80" w:type="dxa"/>
            </w:tcMar>
          </w:tcPr>
          <w:p>
            <w:r>
              <w:rPr>
                <w:rFonts w:ascii="Arial" w:hAnsi="Arial"/>
                <w:color w:val="0F2A1D"/>
                <w:sz w:val="16"/>
              </w:rPr>
              <w:t>Deterministic APIs + RDKit + RAG LLM</w:t>
            </w:r>
          </w:p>
        </w:tc>
        <w:tc>
          <w:tcPr>
            <w:tcW w:type="dxa" w:w="2016"/>
            <w:tcMar>
              <w:top w:w="60" w:type="dxa"/>
              <w:bottom w:w="60" w:type="dxa"/>
              <w:left w:w="80" w:type="dxa"/>
              <w:right w:w="80" w:type="dxa"/>
            </w:tcMar>
          </w:tcPr>
          <w:p>
            <w:r>
              <w:rPr>
                <w:rFonts w:ascii="Arial" w:hAnsi="Arial"/>
                <w:color w:val="0F2A1D"/>
                <w:sz w:val="16"/>
              </w:rPr>
              <w:t>Full Repurposing + ADMET + 505(b)(2)</w:t>
            </w:r>
          </w:p>
        </w:tc>
        <w:tc>
          <w:tcPr>
            <w:tcW w:type="dxa" w:w="2016"/>
            <w:tcMar>
              <w:top w:w="60" w:type="dxa"/>
              <w:bottom w:w="60" w:type="dxa"/>
              <w:left w:w="80" w:type="dxa"/>
              <w:right w:w="80" w:type="dxa"/>
            </w:tcMar>
          </w:tcPr>
          <w:p>
            <w:r>
              <w:rPr>
                <w:rFonts w:ascii="Arial" w:hAnsi="Arial"/>
                <w:color w:val="0F2A1D"/>
                <w:sz w:val="16"/>
              </w:rPr>
              <w:t>Open Web, Instant, Zero-Setup</w:t>
            </w:r>
          </w:p>
        </w:tc>
        <w:tc>
          <w:tcPr>
            <w:tcW w:type="dxa" w:w="2016"/>
            <w:tcMar>
              <w:top w:w="60" w:type="dxa"/>
              <w:bottom w:w="60" w:type="dxa"/>
              <w:left w:w="80" w:type="dxa"/>
              <w:right w:w="80" w:type="dxa"/>
            </w:tcMar>
          </w:tcPr>
          <w:p>
            <w:r>
              <w:rPr>
                <w:rFonts w:ascii="Arial" w:hAnsi="Arial"/>
                <w:color w:val="0F2A1D"/>
                <w:sz w:val="16"/>
              </w:rPr>
              <w:t>0.0% Fact-Constrained</w:t>
            </w:r>
          </w:p>
        </w:tc>
      </w:tr>
    </w:tbl>
    <w:p>
      <w:pPr>
        <w:spacing w:after="120"/>
      </w:pPr>
    </w:p>
    <w:p>
      <w:pPr>
        <w:pStyle w:val="ListBullet"/>
        <w:spacing w:after="60"/>
      </w:pPr>
      <w:r>
        <w:rPr>
          <w:rFonts w:ascii="Arial" w:hAnsi="Arial"/>
          <w:b/>
          <w:color w:val="0F2A1D"/>
          <w:sz w:val="19"/>
        </w:rPr>
        <w:t>Democratizing Drug Discovery:</w:t>
      </w:r>
      <w:r>
        <w:rPr>
          <w:rFonts w:ascii="Arial" w:hAnsi="Arial"/>
          <w:color w:val="0F2A1D"/>
          <w:sz w:val="19"/>
        </w:rPr>
        <w:t xml:space="preserve"> Enterprise tools cost $50k+/year per seat. ReMedX brings enterprise-grade triage to every researcher.</w:t>
      </w:r>
    </w:p>
    <w:p>
      <w:pPr>
        <w:pStyle w:val="ListBullet"/>
        <w:spacing w:after="60"/>
      </w:pPr>
      <w:r>
        <w:rPr>
          <w:rFonts w:ascii="Arial" w:hAnsi="Arial"/>
          <w:b/>
          <w:color w:val="0F2A1D"/>
          <w:sz w:val="19"/>
        </w:rPr>
        <w:t>Strict Epistemological Integrity:</w:t>
      </w:r>
      <w:r>
        <w:rPr>
          <w:rFonts w:ascii="Arial" w:hAnsi="Arial"/>
          <w:color w:val="0F2A1D"/>
          <w:sz w:val="19"/>
        </w:rPr>
        <w:t xml:space="preserve"> Unlike LLM wrappers or generative AI, ReMedX enforces 100% fact-grounded synthesis with live database lineage.</w:t>
      </w:r>
    </w:p>
    <w:p>
      <w:pPr>
        <w:spacing w:before="120" w:after="40"/>
      </w:pPr>
      <w:r>
        <w:rPr>
          <w:rFonts w:ascii="Arial" w:hAnsi="Arial"/>
          <w:b/>
          <w:color w:val="0D9488"/>
          <w:sz w:val="18"/>
        </w:rPr>
        <w:t xml:space="preserve">📊 Recommended Visual: </w:t>
      </w:r>
      <w:r>
        <w:rPr>
          <w:rFonts w:ascii="Arial" w:hAnsi="Arial"/>
          <w:color w:val="0F2A1D"/>
          <w:sz w:val="18"/>
        </w:rPr>
        <w:t>High-contrast comparative matrix highlighting ReMedX in bright emerald green with checkmarks across Zero Hallucination, 505(b)(2) Dossier, and Web Accessibility.</w:t>
        <w:br/>
      </w:r>
      <w:r>
        <w:rPr>
          <w:rFonts w:ascii="Arial" w:hAnsi="Arial"/>
          <w:b/>
          <w:color w:val="B45309"/>
          <w:sz w:val="18"/>
        </w:rPr>
        <w:t xml:space="preserve">🎙️ Speaker Notes: </w:t>
      </w:r>
      <w:r>
        <w:rPr>
          <w:rFonts w:ascii="Arial" w:hAnsi="Arial"/>
          <w:i/>
          <w:color w:val="0F2A1D"/>
          <w:sz w:val="18"/>
        </w:rPr>
        <w:t>Walk the judges through this table. Explain: 'We didn't invent unproven math. We synthesized the best features of StarDrop, ADMETlab, and Open Targets into a zero-hallucination, accessible web engine.'</w:t>
        <w:br/>
      </w:r>
      <w:r>
        <w:rPr>
          <w:rFonts w:ascii="Arial" w:hAnsi="Arial"/>
          <w:b/>
          <w:color w:val="1C6B42"/>
          <w:sz w:val="18"/>
        </w:rPr>
        <w:t xml:space="preserve">🏆 Competitive Edge: </w:t>
      </w:r>
      <w:r>
        <w:rPr>
          <w:rFonts w:ascii="Arial" w:hAnsi="Arial"/>
          <w:b/>
          <w:color w:val="0F2A1D"/>
          <w:sz w:val="18"/>
        </w:rPr>
        <w:t>Shows complete familiarity with the competitive software landscape (Optibrium, Simulations Plus, Schrödinger).</w:t>
      </w:r>
    </w:p>
    <w:p>
      <w:pPr>
        <w:spacing w:after="240"/>
      </w:pPr>
    </w:p>
    <w:p>
      <w:pPr>
        <w:spacing w:after="160"/>
      </w:pPr>
    </w:p>
    <w:tbl>
      <w:tblPr>
        <w:tblW w:type="auto" w:w="0"/>
        <w:jc w:val="center"/>
        <w:tblLook w:firstColumn="1" w:firstRow="1" w:lastColumn="0" w:lastRow="0" w:noHBand="0" w:noVBand="1" w:val="04A0"/>
      </w:tblPr>
      <w:tblGrid>
        <w:gridCol w:w="5040"/>
        <w:gridCol w:w="5040"/>
      </w:tblGrid>
      <w:tr>
        <w:tc>
          <w:tcPr>
            <w:tcW w:type="dxa" w:w="7200"/>
            <w:shd w:fill="1C6B42"/>
            <w:tcMar>
              <w:top w:w="100" w:type="dxa"/>
              <w:bottom w:w="100" w:type="dxa"/>
              <w:left w:w="150" w:type="dxa"/>
              <w:right w:w="150" w:type="dxa"/>
            </w:tcMar>
          </w:tcPr>
          <w:p>
            <w:r>
              <w:rPr>
                <w:rFonts w:ascii="Arial" w:hAnsi="Arial"/>
                <w:b/>
                <w:color w:val="FFFFFF"/>
                <w:sz w:val="26"/>
              </w:rPr>
              <w:t>SLIDE 4: Advanced Chemical Triage: PAINS &amp; Brenk Structural Alert Screening</w:t>
            </w:r>
          </w:p>
        </w:tc>
        <w:tc>
          <w:tcPr>
            <w:tcW w:type="dxa" w:w="2880"/>
            <w:shd w:fill="1C6B42"/>
            <w:tcMar>
              <w:top w:w="100" w:type="dxa"/>
              <w:bottom w:w="100" w:type="dxa"/>
              <w:left w:w="150" w:type="dxa"/>
              <w:right w:w="150" w:type="dxa"/>
            </w:tcMar>
          </w:tcPr>
          <w:p>
            <w:pPr>
              <w:jc w:val="right"/>
            </w:pPr>
            <w:r>
              <w:rPr>
                <w:rFonts w:ascii="Arial" w:hAnsi="Arial"/>
                <w:i/>
                <w:color w:val="D2F0E1"/>
                <w:sz w:val="18"/>
              </w:rPr>
              <w:t>Assay Fidelity &amp; Medicinal Chemistry</w:t>
            </w:r>
          </w:p>
        </w:tc>
      </w:tr>
    </w:tbl>
    <w:tbl>
      <w:tblPr>
        <w:tblW w:type="auto" w:w="0"/>
        <w:jc w:val="center"/>
        <w:tblLook w:firstColumn="1" w:firstRow="1" w:lastColumn="0" w:lastRow="0" w:noHBand="0" w:noVBand="1" w:val="04A0"/>
      </w:tblPr>
      <w:tblGrid>
        <w:gridCol w:w="10080"/>
      </w:tblGrid>
      <w:tr>
        <w:tc>
          <w:tcPr>
            <w:tcW w:type="dxa" w:w="10080"/>
            <w:shd w:fill="F4F9F6"/>
            <w:tcMar>
              <w:top w:w="140" w:type="dxa"/>
              <w:bottom w:w="140" w:type="dxa"/>
              <w:left w:w="180" w:type="dxa"/>
              <w:right w:w="180" w:type="dxa"/>
            </w:tcMar>
          </w:tcPr>
          <w:p>
            <w:r>
              <w:rPr>
                <w:rFonts w:ascii="Arial" w:hAnsi="Arial"/>
                <w:b/>
                <w:color w:val="1C6B42"/>
                <w:sz w:val="21"/>
              </w:rPr>
              <w:t>SLIDE BULLET POINTS:</w:t>
              <w:br/>
            </w:r>
          </w:p>
        </w:tc>
      </w:tr>
    </w:tbl>
    <w:p>
      <w:pPr>
        <w:pStyle w:val="ListBullet"/>
        <w:spacing w:after="60"/>
      </w:pPr>
      <w:r>
        <w:rPr>
          <w:rFonts w:ascii="Arial" w:hAnsi="Arial"/>
          <w:b/>
          <w:color w:val="0F2A1D"/>
          <w:sz w:val="19"/>
        </w:rPr>
        <w:t>The False-Positive Trap in High-Throughput Screening:</w:t>
      </w:r>
      <w:r>
        <w:rPr>
          <w:rFonts w:ascii="Arial" w:hAnsi="Arial"/>
          <w:color w:val="0F2A1D"/>
          <w:sz w:val="19"/>
        </w:rPr>
        <w:t xml:space="preserve"> Chemical libraries frequently contain molecules that look highly active in assays but are biological artifacts.</w:t>
      </w:r>
    </w:p>
    <w:p>
      <w:pPr>
        <w:pStyle w:val="ListBullet"/>
        <w:spacing w:after="60"/>
      </w:pPr>
      <w:r>
        <w:rPr>
          <w:rFonts w:ascii="Arial" w:hAnsi="Arial"/>
          <w:b/>
          <w:color w:val="0F2A1D"/>
          <w:sz w:val="19"/>
        </w:rPr>
        <w:t>Pan-Assay Interference Compounds (PAINS):</w:t>
      </w:r>
      <w:r>
        <w:rPr>
          <w:rFonts w:ascii="Arial" w:hAnsi="Arial"/>
          <w:color w:val="0F2A1D"/>
          <w:sz w:val="19"/>
        </w:rPr>
        <w:t xml:space="preserve"> Substructure filtering across PAINS_A, PAINS_B, and PAINS_C catalogs (e.g., rhodanines, quinones, toxoflavins) that cause non-specific protein reactivity, aggregation, or optical interference.</w:t>
      </w:r>
    </w:p>
    <w:p>
      <w:pPr>
        <w:pStyle w:val="ListBullet"/>
        <w:spacing w:after="60"/>
      </w:pPr>
      <w:r>
        <w:rPr>
          <w:rFonts w:ascii="Arial" w:hAnsi="Arial"/>
          <w:b/>
          <w:color w:val="0F2A1D"/>
          <w:sz w:val="19"/>
        </w:rPr>
        <w:t>Brenk Toxicophore Filtering:</w:t>
      </w:r>
      <w:r>
        <w:rPr>
          <w:rFonts w:ascii="Arial" w:hAnsi="Arial"/>
          <w:color w:val="0F2A1D"/>
          <w:sz w:val="19"/>
        </w:rPr>
        <w:t xml:space="preserve"> Automated screening for chemically unstable, reactive, or carcinogenic functional groups (e.g., alkyl halides, nitro groups, thiols).</w:t>
      </w:r>
    </w:p>
    <w:p>
      <w:pPr>
        <w:pStyle w:val="ListBullet"/>
        <w:spacing w:after="60"/>
      </w:pPr>
      <w:r>
        <w:rPr>
          <w:rFonts w:ascii="Arial" w:hAnsi="Arial"/>
          <w:b/>
          <w:color w:val="0F2A1D"/>
          <w:sz w:val="19"/>
        </w:rPr>
        <w:t>Beyond Lipinski (Veber &amp; Ghose Rules):</w:t>
      </w:r>
      <w:r>
        <w:rPr>
          <w:rFonts w:ascii="Arial" w:hAnsi="Arial"/>
          <w:color w:val="0F2A1D"/>
          <w:sz w:val="19"/>
        </w:rPr>
        <w:t xml:space="preserve"> Assessing Rotatable Bonds (&lt;= 10) and Polar Surface Area (&lt;= 140 A^2) to guarantee oral intestinal permeability, plus Ghose logP/MW criteria.</w:t>
      </w:r>
    </w:p>
    <w:p>
      <w:pPr>
        <w:pStyle w:val="ListBullet"/>
        <w:spacing w:after="60"/>
      </w:pPr>
      <w:r>
        <w:rPr>
          <w:rFonts w:ascii="Arial" w:hAnsi="Arial"/>
          <w:b/>
          <w:color w:val="0F2A1D"/>
          <w:sz w:val="19"/>
        </w:rPr>
        <w:t>Saving Clinical Capital:</w:t>
      </w:r>
      <w:r>
        <w:rPr>
          <w:rFonts w:ascii="Arial" w:hAnsi="Arial"/>
          <w:color w:val="0F2A1D"/>
          <w:sz w:val="19"/>
        </w:rPr>
        <w:t xml:space="preserve"> Prevents millions of dollars from being wasted on flawed molecules that can never pass IND toxicology.</w:t>
      </w:r>
    </w:p>
    <w:p>
      <w:pPr>
        <w:spacing w:before="120" w:after="40"/>
      </w:pPr>
      <w:r>
        <w:rPr>
          <w:rFonts w:ascii="Arial" w:hAnsi="Arial"/>
          <w:b/>
          <w:color w:val="0D9488"/>
          <w:sz w:val="18"/>
        </w:rPr>
        <w:t xml:space="preserve">📊 Recommended Visual: </w:t>
      </w:r>
      <w:r>
        <w:rPr>
          <w:rFonts w:ascii="Arial" w:hAnsi="Arial"/>
          <w:color w:val="0F2A1D"/>
          <w:sz w:val="18"/>
        </w:rPr>
        <w:t>Chemical structure diagram highlighting a toxicophore in red with an interactive 'PAINS Alert: Rhodanine Core Detected' badge and instant pass/fail triage tag.</w:t>
        <w:br/>
      </w:r>
      <w:r>
        <w:rPr>
          <w:rFonts w:ascii="Arial" w:hAnsi="Arial"/>
          <w:b/>
          <w:color w:val="B45309"/>
          <w:sz w:val="18"/>
        </w:rPr>
        <w:t xml:space="preserve">🎙️ Speaker Notes: </w:t>
      </w:r>
      <w:r>
        <w:rPr>
          <w:rFonts w:ascii="Arial" w:hAnsi="Arial"/>
          <w:i/>
          <w:color w:val="0F2A1D"/>
          <w:sz w:val="18"/>
        </w:rPr>
        <w:t>Mention that in drug discovery, rejecting the wrong compound is just as valuable as finding the right one. Our RDKit engine screens all SMILES through PAINS and Brenk catalogs, ensuring researchers don't pursue assay artifacts.</w:t>
        <w:br/>
      </w:r>
      <w:r>
        <w:rPr>
          <w:rFonts w:ascii="Arial" w:hAnsi="Arial"/>
          <w:b/>
          <w:color w:val="1C6B42"/>
          <w:sz w:val="18"/>
        </w:rPr>
        <w:t xml:space="preserve">🏆 Competitive Edge: </w:t>
      </w:r>
      <w:r>
        <w:rPr>
          <w:rFonts w:ascii="Arial" w:hAnsi="Arial"/>
          <w:b/>
          <w:color w:val="0F2A1D"/>
          <w:sz w:val="18"/>
        </w:rPr>
        <w:t>Demonstrates real-world medicinal chemistry understanding that judges from pharma will strongly respect.</w:t>
      </w:r>
    </w:p>
    <w:p>
      <w:pPr>
        <w:spacing w:after="240"/>
      </w:pPr>
    </w:p>
    <w:p>
      <w:pPr>
        <w:spacing w:after="160"/>
      </w:pPr>
    </w:p>
    <w:tbl>
      <w:tblPr>
        <w:tblW w:type="auto" w:w="0"/>
        <w:jc w:val="center"/>
        <w:tblLook w:firstColumn="1" w:firstRow="1" w:lastColumn="0" w:lastRow="0" w:noHBand="0" w:noVBand="1" w:val="04A0"/>
      </w:tblPr>
      <w:tblGrid>
        <w:gridCol w:w="5040"/>
        <w:gridCol w:w="5040"/>
      </w:tblGrid>
      <w:tr>
        <w:tc>
          <w:tcPr>
            <w:tcW w:type="dxa" w:w="7200"/>
            <w:shd w:fill="1C6B42"/>
            <w:tcMar>
              <w:top w:w="100" w:type="dxa"/>
              <w:bottom w:w="100" w:type="dxa"/>
              <w:left w:w="150" w:type="dxa"/>
              <w:right w:w="150" w:type="dxa"/>
            </w:tcMar>
          </w:tcPr>
          <w:p>
            <w:r>
              <w:rPr>
                <w:rFonts w:ascii="Arial" w:hAnsi="Arial"/>
                <w:b/>
                <w:color w:val="FFFFFF"/>
                <w:sz w:val="26"/>
              </w:rPr>
              <w:t>SLIDE 5: Uncertainty Quantification &amp; Domain of Applicability (AD)</w:t>
            </w:r>
          </w:p>
        </w:tc>
        <w:tc>
          <w:tcPr>
            <w:tcW w:type="dxa" w:w="2880"/>
            <w:shd w:fill="1C6B42"/>
            <w:tcMar>
              <w:top w:w="100" w:type="dxa"/>
              <w:bottom w:w="100" w:type="dxa"/>
              <w:left w:w="150" w:type="dxa"/>
              <w:right w:w="150" w:type="dxa"/>
            </w:tcMar>
          </w:tcPr>
          <w:p>
            <w:pPr>
              <w:jc w:val="right"/>
            </w:pPr>
            <w:r>
              <w:rPr>
                <w:rFonts w:ascii="Arial" w:hAnsi="Arial"/>
                <w:i/>
                <w:color w:val="D2F0E1"/>
                <w:sz w:val="18"/>
              </w:rPr>
              <w:t>AI Trustworthiness &amp; Regulatory Rigor</w:t>
            </w:r>
          </w:p>
        </w:tc>
      </w:tr>
    </w:tbl>
    <w:tbl>
      <w:tblPr>
        <w:tblW w:type="auto" w:w="0"/>
        <w:jc w:val="center"/>
        <w:tblLook w:firstColumn="1" w:firstRow="1" w:lastColumn="0" w:lastRow="0" w:noHBand="0" w:noVBand="1" w:val="04A0"/>
      </w:tblPr>
      <w:tblGrid>
        <w:gridCol w:w="10080"/>
      </w:tblGrid>
      <w:tr>
        <w:tc>
          <w:tcPr>
            <w:tcW w:type="dxa" w:w="10080"/>
            <w:shd w:fill="F4F9F6"/>
            <w:tcMar>
              <w:top w:w="140" w:type="dxa"/>
              <w:bottom w:w="140" w:type="dxa"/>
              <w:left w:w="180" w:type="dxa"/>
              <w:right w:w="180" w:type="dxa"/>
            </w:tcMar>
          </w:tcPr>
          <w:p>
            <w:r>
              <w:rPr>
                <w:rFonts w:ascii="Arial" w:hAnsi="Arial"/>
                <w:b/>
                <w:color w:val="1C6B42"/>
                <w:sz w:val="21"/>
              </w:rPr>
              <w:t>SLIDE BULLET POINTS:</w:t>
              <w:br/>
            </w:r>
          </w:p>
        </w:tc>
      </w:tr>
    </w:tbl>
    <w:p>
      <w:pPr>
        <w:pStyle w:val="ListBullet"/>
        <w:spacing w:after="60"/>
      </w:pPr>
      <w:r>
        <w:rPr>
          <w:rFonts w:ascii="Arial" w:hAnsi="Arial"/>
          <w:b/>
          <w:color w:val="0F2A1D"/>
          <w:sz w:val="19"/>
        </w:rPr>
        <w:t>The Danger of Point Predictions:</w:t>
      </w:r>
      <w:r>
        <w:rPr>
          <w:rFonts w:ascii="Arial" w:hAnsi="Arial"/>
          <w:color w:val="0F2A1D"/>
          <w:sz w:val="19"/>
        </w:rPr>
        <w:t xml:space="preserve"> In healthcare, a machine learning prediction without an error bar or uncertainty estimate is clinically useless.</w:t>
      </w:r>
    </w:p>
    <w:p>
      <w:pPr>
        <w:pStyle w:val="ListBullet"/>
        <w:spacing w:after="60"/>
      </w:pPr>
      <w:r>
        <w:rPr>
          <w:rFonts w:ascii="Arial" w:hAnsi="Arial"/>
          <w:b/>
          <w:color w:val="0F2A1D"/>
          <w:sz w:val="19"/>
        </w:rPr>
        <w:t>Aleatoric Uncertainty (Data Noise):</w:t>
      </w:r>
      <w:r>
        <w:rPr>
          <w:rFonts w:ascii="Arial" w:hAnsi="Arial"/>
          <w:color w:val="0F2A1D"/>
          <w:sz w:val="19"/>
        </w:rPr>
        <w:t xml:space="preserve"> Quantifies inherent experimental error, assay noise, and batch variability in the underlying laboratory data.</w:t>
      </w:r>
    </w:p>
    <w:p>
      <w:pPr>
        <w:pStyle w:val="ListBullet"/>
        <w:spacing w:after="60"/>
      </w:pPr>
      <w:r>
        <w:rPr>
          <w:rFonts w:ascii="Arial" w:hAnsi="Arial"/>
          <w:b/>
          <w:color w:val="0F2A1D"/>
          <w:sz w:val="19"/>
        </w:rPr>
        <w:t>Epistemic Uncertainty (Model Knowledge):</w:t>
      </w:r>
      <w:r>
        <w:rPr>
          <w:rFonts w:ascii="Arial" w:hAnsi="Arial"/>
          <w:color w:val="0F2A1D"/>
          <w:sz w:val="19"/>
        </w:rPr>
        <w:t xml:space="preserve"> Quantifies whether the test molecule sits in uncharted chemical space where the model lacks training examples (evidential deep learning approach).</w:t>
      </w:r>
    </w:p>
    <w:p>
      <w:pPr>
        <w:pStyle w:val="ListBullet"/>
        <w:spacing w:after="60"/>
      </w:pPr>
      <w:r>
        <w:rPr>
          <w:rFonts w:ascii="Arial" w:hAnsi="Arial"/>
          <w:b/>
          <w:color w:val="0F2A1D"/>
          <w:sz w:val="19"/>
        </w:rPr>
        <w:t>Explicit Applicability Domain (AD) Flags:</w:t>
      </w:r>
      <w:r>
        <w:rPr>
          <w:rFonts w:ascii="Arial" w:hAnsi="Arial"/>
          <w:color w:val="0F2A1D"/>
          <w:sz w:val="19"/>
        </w:rPr>
        <w:t xml:space="preserve"> Automated chemical space checks. If a candidate falls outside the model's trusted descriptor envelope, it is explicitly flagged as 'Out of Domain' rather than giving false confidence.</w:t>
      </w:r>
    </w:p>
    <w:p>
      <w:pPr>
        <w:pStyle w:val="ListBullet"/>
        <w:spacing w:after="60"/>
      </w:pPr>
      <w:r>
        <w:rPr>
          <w:rFonts w:ascii="Arial" w:hAnsi="Arial"/>
          <w:b/>
          <w:color w:val="0F2A1D"/>
          <w:sz w:val="19"/>
        </w:rPr>
        <w:t>Validation Standards:</w:t>
      </w:r>
      <w:r>
        <w:rPr>
          <w:rFonts w:ascii="Arial" w:hAnsi="Arial"/>
          <w:color w:val="0F2A1D"/>
          <w:sz w:val="19"/>
        </w:rPr>
        <w:t xml:space="preserve"> Typical R^2 regression benchmark (0.6 - 0.8) and classification accuracy (70% - 85%) documented with confidence intervals.</w:t>
      </w:r>
    </w:p>
    <w:p>
      <w:pPr>
        <w:spacing w:before="120" w:after="40"/>
      </w:pPr>
      <w:r>
        <w:rPr>
          <w:rFonts w:ascii="Arial" w:hAnsi="Arial"/>
          <w:b/>
          <w:color w:val="0D9488"/>
          <w:sz w:val="18"/>
        </w:rPr>
        <w:t xml:space="preserve">📊 Recommended Visual: </w:t>
      </w:r>
      <w:r>
        <w:rPr>
          <w:rFonts w:ascii="Arial" w:hAnsi="Arial"/>
          <w:color w:val="0F2A1D"/>
          <w:sz w:val="18"/>
        </w:rPr>
        <w:t>2D Chemical Space Density Plot (t-SNE or PCA) showing the Applicability Domain boundary, with known drugs inside (green) and an out-of-domain molecule outside (amber warning).</w:t>
        <w:br/>
      </w:r>
      <w:r>
        <w:rPr>
          <w:rFonts w:ascii="Arial" w:hAnsi="Arial"/>
          <w:b/>
          <w:color w:val="B45309"/>
          <w:sz w:val="18"/>
        </w:rPr>
        <w:t xml:space="preserve">🎙️ Speaker Notes: </w:t>
      </w:r>
      <w:r>
        <w:rPr>
          <w:rFonts w:ascii="Arial" w:hAnsi="Arial"/>
          <w:i/>
          <w:color w:val="0F2A1D"/>
          <w:sz w:val="18"/>
        </w:rPr>
        <w:t>Tell the judges: 'Many AI models pretend to know everything. ReMedX tells you when it knows, and explicitly flags when a compound is outside the Applicability Domain. We capture both aleatoric and epistemic uncertainty.'</w:t>
        <w:br/>
      </w:r>
      <w:r>
        <w:rPr>
          <w:rFonts w:ascii="Arial" w:hAnsi="Arial"/>
          <w:b/>
          <w:color w:val="1C6B42"/>
          <w:sz w:val="18"/>
        </w:rPr>
        <w:t xml:space="preserve">🏆 Competitive Edge: </w:t>
      </w:r>
      <w:r>
        <w:rPr>
          <w:rFonts w:ascii="Arial" w:hAnsi="Arial"/>
          <w:b/>
          <w:color w:val="0F2A1D"/>
          <w:sz w:val="18"/>
        </w:rPr>
        <w:t>Directly satisfies OECD Principle 3 and FDA validation criteria for predictive in silico models.</w:t>
      </w:r>
    </w:p>
    <w:p>
      <w:pPr>
        <w:spacing w:after="240"/>
      </w:pPr>
    </w:p>
    <w:p>
      <w:pPr>
        <w:spacing w:after="160"/>
      </w:pPr>
    </w:p>
    <w:tbl>
      <w:tblPr>
        <w:tblW w:type="auto" w:w="0"/>
        <w:jc w:val="center"/>
        <w:tblLook w:firstColumn="1" w:firstRow="1" w:lastColumn="0" w:lastRow="0" w:noHBand="0" w:noVBand="1" w:val="04A0"/>
      </w:tblPr>
      <w:tblGrid>
        <w:gridCol w:w="5040"/>
        <w:gridCol w:w="5040"/>
      </w:tblGrid>
      <w:tr>
        <w:tc>
          <w:tcPr>
            <w:tcW w:type="dxa" w:w="7200"/>
            <w:shd w:fill="1C6B42"/>
            <w:tcMar>
              <w:top w:w="100" w:type="dxa"/>
              <w:bottom w:w="100" w:type="dxa"/>
              <w:left w:w="150" w:type="dxa"/>
              <w:right w:w="150" w:type="dxa"/>
            </w:tcMar>
          </w:tcPr>
          <w:p>
            <w:r>
              <w:rPr>
                <w:rFonts w:ascii="Arial" w:hAnsi="Arial"/>
                <w:b/>
                <w:color w:val="FFFFFF"/>
                <w:sz w:val="26"/>
              </w:rPr>
              <w:t>SLIDE 6: Bidirectional Repurposing: ChEMBL Off-Target Kinetics</w:t>
            </w:r>
          </w:p>
        </w:tc>
        <w:tc>
          <w:tcPr>
            <w:tcW w:type="dxa" w:w="2880"/>
            <w:shd w:fill="1C6B42"/>
            <w:tcMar>
              <w:top w:w="100" w:type="dxa"/>
              <w:bottom w:w="100" w:type="dxa"/>
              <w:left w:w="150" w:type="dxa"/>
              <w:right w:w="150" w:type="dxa"/>
            </w:tcMar>
          </w:tcPr>
          <w:p>
            <w:pPr>
              <w:jc w:val="right"/>
            </w:pPr>
            <w:r>
              <w:rPr>
                <w:rFonts w:ascii="Arial" w:hAnsi="Arial"/>
                <w:i/>
                <w:color w:val="D2F0E1"/>
                <w:sz w:val="18"/>
              </w:rPr>
              <w:t>Module C: Novel Indication Discovery</w:t>
            </w:r>
          </w:p>
        </w:tc>
      </w:tr>
    </w:tbl>
    <w:tbl>
      <w:tblPr>
        <w:tblW w:type="auto" w:w="0"/>
        <w:jc w:val="center"/>
        <w:tblLook w:firstColumn="1" w:firstRow="1" w:lastColumn="0" w:lastRow="0" w:noHBand="0" w:noVBand="1" w:val="04A0"/>
      </w:tblPr>
      <w:tblGrid>
        <w:gridCol w:w="10080"/>
      </w:tblGrid>
      <w:tr>
        <w:tc>
          <w:tcPr>
            <w:tcW w:type="dxa" w:w="10080"/>
            <w:shd w:fill="F4F9F6"/>
            <w:tcMar>
              <w:top w:w="140" w:type="dxa"/>
              <w:bottom w:w="140" w:type="dxa"/>
              <w:left w:w="180" w:type="dxa"/>
              <w:right w:w="180" w:type="dxa"/>
            </w:tcMar>
          </w:tcPr>
          <w:p>
            <w:r>
              <w:rPr>
                <w:rFonts w:ascii="Arial" w:hAnsi="Arial"/>
                <w:b/>
                <w:color w:val="1C6B42"/>
                <w:sz w:val="21"/>
              </w:rPr>
              <w:t>SLIDE BULLET POINTS:</w:t>
              <w:br/>
            </w:r>
          </w:p>
        </w:tc>
      </w:tr>
    </w:tbl>
    <w:p>
      <w:pPr>
        <w:pStyle w:val="ListBullet"/>
        <w:spacing w:after="60"/>
      </w:pPr>
      <w:r>
        <w:rPr>
          <w:rFonts w:ascii="Arial" w:hAnsi="Arial"/>
          <w:b/>
          <w:color w:val="0F2A1D"/>
          <w:sz w:val="19"/>
        </w:rPr>
        <w:t>Closing the Loop — Reverse Screening:</w:t>
      </w:r>
      <w:r>
        <w:rPr>
          <w:rFonts w:ascii="Arial" w:hAnsi="Arial"/>
          <w:color w:val="0F2A1D"/>
          <w:sz w:val="19"/>
        </w:rPr>
        <w:t xml:space="preserve"> Moving beyond 'Disease -&gt; Drug' to the high-value commercial question: 'What else can my existing drug treat?'</w:t>
      </w:r>
    </w:p>
    <w:p>
      <w:pPr>
        <w:pStyle w:val="ListBullet"/>
        <w:spacing w:after="60"/>
      </w:pPr>
      <w:r>
        <w:rPr>
          <w:rFonts w:ascii="Arial" w:hAnsi="Arial"/>
          <w:b/>
          <w:color w:val="0F2A1D"/>
          <w:sz w:val="19"/>
        </w:rPr>
        <w:t>ChEMBL Bioactivity Mining:</w:t>
      </w:r>
      <w:r>
        <w:rPr>
          <w:rFonts w:ascii="Arial" w:hAnsi="Arial"/>
          <w:color w:val="0F2A1D"/>
          <w:sz w:val="19"/>
        </w:rPr>
        <w:t xml:space="preserve"> Programmatic querying of &gt;24 million bioactivity assays to extract high-confidence pChEMBL affinity scores (pChEMBL = -log10(IC50)).</w:t>
      </w:r>
    </w:p>
    <w:p>
      <w:pPr>
        <w:pStyle w:val="ListBullet"/>
        <w:spacing w:after="60"/>
      </w:pPr>
      <w:r>
        <w:rPr>
          <w:rFonts w:ascii="Arial" w:hAnsi="Arial"/>
          <w:b/>
          <w:color w:val="0F2A1D"/>
          <w:sz w:val="19"/>
        </w:rPr>
        <w:t>Off-Target Polypharmacology:</w:t>
      </w:r>
      <w:r>
        <w:rPr>
          <w:rFonts w:ascii="Arial" w:hAnsi="Arial"/>
          <w:color w:val="0F2A1D"/>
          <w:sz w:val="19"/>
        </w:rPr>
        <w:t xml:space="preserve"> Identifying secondary protein targets where approved drugs exhibit unintended, potent micromolar/nanomolar binding affinity.</w:t>
      </w:r>
    </w:p>
    <w:p>
      <w:pPr>
        <w:pStyle w:val="ListBullet"/>
        <w:spacing w:after="60"/>
      </w:pPr>
      <w:r>
        <w:rPr>
          <w:rFonts w:ascii="Arial" w:hAnsi="Arial"/>
          <w:b/>
          <w:color w:val="0F2A1D"/>
          <w:sz w:val="19"/>
        </w:rPr>
        <w:t>Automated Disease Re-Routing:</w:t>
      </w:r>
      <w:r>
        <w:rPr>
          <w:rFonts w:ascii="Arial" w:hAnsi="Arial"/>
          <w:color w:val="0F2A1D"/>
          <w:sz w:val="19"/>
        </w:rPr>
        <w:t xml:space="preserve"> Off-target proteins are immediately fed back into Open Targets GraphQL to discover unexploited therapeutic indications.</w:t>
      </w:r>
    </w:p>
    <w:p>
      <w:pPr>
        <w:pStyle w:val="ListBullet"/>
        <w:spacing w:after="60"/>
      </w:pPr>
      <w:r>
        <w:rPr>
          <w:rFonts w:ascii="Arial" w:hAnsi="Arial"/>
          <w:b/>
          <w:color w:val="0F2A1D"/>
          <w:sz w:val="19"/>
        </w:rPr>
        <w:t>Interactive Off-Target Kinetic Map:</w:t>
      </w:r>
      <w:r>
        <w:rPr>
          <w:rFonts w:ascii="Arial" w:hAnsi="Arial"/>
          <w:color w:val="0F2A1D"/>
          <w:sz w:val="19"/>
        </w:rPr>
        <w:t xml:space="preserve"> WebGL Plotly scatter plot mapping target affinity vs. selectivity ratios.</w:t>
      </w:r>
    </w:p>
    <w:p>
      <w:pPr>
        <w:spacing w:before="120" w:after="40"/>
      </w:pPr>
      <w:r>
        <w:rPr>
          <w:rFonts w:ascii="Arial" w:hAnsi="Arial"/>
          <w:b/>
          <w:color w:val="0D9488"/>
          <w:sz w:val="18"/>
        </w:rPr>
        <w:t xml:space="preserve">📊 Recommended Visual: </w:t>
      </w:r>
      <w:r>
        <w:rPr>
          <w:rFonts w:ascii="Arial" w:hAnsi="Arial"/>
          <w:color w:val="0F2A1D"/>
          <w:sz w:val="18"/>
        </w:rPr>
        <w:t>Interactive Plotly scatter plot (pChEMBL score on Y-axis, Target Gene on X-axis, size = IC50 concentration, colored by therapeutic disease category).</w:t>
        <w:br/>
      </w:r>
      <w:r>
        <w:rPr>
          <w:rFonts w:ascii="Arial" w:hAnsi="Arial"/>
          <w:b/>
          <w:color w:val="B45309"/>
          <w:sz w:val="18"/>
        </w:rPr>
        <w:t xml:space="preserve">🎙️ Speaker Notes: </w:t>
      </w:r>
      <w:r>
        <w:rPr>
          <w:rFonts w:ascii="Arial" w:hAnsi="Arial"/>
          <w:i/>
          <w:color w:val="0F2A1D"/>
          <w:sz w:val="18"/>
        </w:rPr>
        <w:t>Demonstrate the reverse lookup live. 'Take a drug like Sildenafil, originally for hypertension, and show how its off-target PDE5 inhibition reveals erectile dysfunction and pulmonary hypertension. That is bidirectional discovery in action.'</w:t>
        <w:br/>
      </w:r>
      <w:r>
        <w:rPr>
          <w:rFonts w:ascii="Arial" w:hAnsi="Arial"/>
          <w:b/>
          <w:color w:val="1C6B42"/>
          <w:sz w:val="18"/>
        </w:rPr>
        <w:t xml:space="preserve">🏆 Competitive Edge: </w:t>
      </w:r>
      <w:r>
        <w:rPr>
          <w:rFonts w:ascii="Arial" w:hAnsi="Arial"/>
          <w:b/>
          <w:color w:val="0F2A1D"/>
          <w:sz w:val="18"/>
        </w:rPr>
        <w:t>The single strongest technical hackathon feature — converts ReMedX into a closed-loop discovery engine.</w:t>
      </w:r>
    </w:p>
    <w:p>
      <w:pPr>
        <w:spacing w:after="240"/>
      </w:pPr>
    </w:p>
    <w:p>
      <w:pPr>
        <w:spacing w:after="160"/>
      </w:pPr>
    </w:p>
    <w:tbl>
      <w:tblPr>
        <w:tblW w:type="auto" w:w="0"/>
        <w:jc w:val="center"/>
        <w:tblLook w:firstColumn="1" w:firstRow="1" w:lastColumn="0" w:lastRow="0" w:noHBand="0" w:noVBand="1" w:val="04A0"/>
      </w:tblPr>
      <w:tblGrid>
        <w:gridCol w:w="5040"/>
        <w:gridCol w:w="5040"/>
      </w:tblGrid>
      <w:tr>
        <w:tc>
          <w:tcPr>
            <w:tcW w:type="dxa" w:w="7200"/>
            <w:shd w:fill="1C6B42"/>
            <w:tcMar>
              <w:top w:w="100" w:type="dxa"/>
              <w:bottom w:w="100" w:type="dxa"/>
              <w:left w:w="150" w:type="dxa"/>
              <w:right w:w="150" w:type="dxa"/>
            </w:tcMar>
          </w:tcPr>
          <w:p>
            <w:r>
              <w:rPr>
                <w:rFonts w:ascii="Arial" w:hAnsi="Arial"/>
                <w:b/>
                <w:color w:val="FFFFFF"/>
                <w:sz w:val="26"/>
              </w:rPr>
              <w:t>SLIDE 7: Mechanistic Systems Biology: Reactome Pathway Cascades</w:t>
            </w:r>
          </w:p>
        </w:tc>
        <w:tc>
          <w:tcPr>
            <w:tcW w:type="dxa" w:w="2880"/>
            <w:shd w:fill="1C6B42"/>
            <w:tcMar>
              <w:top w:w="100" w:type="dxa"/>
              <w:bottom w:w="100" w:type="dxa"/>
              <w:left w:w="150" w:type="dxa"/>
              <w:right w:w="150" w:type="dxa"/>
            </w:tcMar>
          </w:tcPr>
          <w:p>
            <w:pPr>
              <w:jc w:val="right"/>
            </w:pPr>
            <w:r>
              <w:rPr>
                <w:rFonts w:ascii="Arial" w:hAnsi="Arial"/>
                <w:i/>
                <w:color w:val="D2F0E1"/>
                <w:sz w:val="18"/>
              </w:rPr>
              <w:t>Biological Validation &amp; Mechanism of Action</w:t>
            </w:r>
          </w:p>
        </w:tc>
      </w:tr>
    </w:tbl>
    <w:tbl>
      <w:tblPr>
        <w:tblW w:type="auto" w:w="0"/>
        <w:jc w:val="center"/>
        <w:tblLook w:firstColumn="1" w:firstRow="1" w:lastColumn="0" w:lastRow="0" w:noHBand="0" w:noVBand="1" w:val="04A0"/>
      </w:tblPr>
      <w:tblGrid>
        <w:gridCol w:w="10080"/>
      </w:tblGrid>
      <w:tr>
        <w:tc>
          <w:tcPr>
            <w:tcW w:type="dxa" w:w="10080"/>
            <w:shd w:fill="F4F9F6"/>
            <w:tcMar>
              <w:top w:w="140" w:type="dxa"/>
              <w:bottom w:w="140" w:type="dxa"/>
              <w:left w:w="180" w:type="dxa"/>
              <w:right w:w="180" w:type="dxa"/>
            </w:tcMar>
          </w:tcPr>
          <w:p>
            <w:r>
              <w:rPr>
                <w:rFonts w:ascii="Arial" w:hAnsi="Arial"/>
                <w:b/>
                <w:color w:val="1C6B42"/>
                <w:sz w:val="21"/>
              </w:rPr>
              <w:t>SLIDE BULLET POINTS:</w:t>
              <w:br/>
            </w:r>
          </w:p>
        </w:tc>
      </w:tr>
    </w:tbl>
    <w:p>
      <w:pPr>
        <w:pStyle w:val="ListBullet"/>
        <w:spacing w:after="60"/>
      </w:pPr>
      <w:r>
        <w:rPr>
          <w:rFonts w:ascii="Arial" w:hAnsi="Arial"/>
          <w:b/>
          <w:color w:val="0F2A1D"/>
          <w:sz w:val="19"/>
        </w:rPr>
        <w:t>From Correlation to Causation:</w:t>
      </w:r>
      <w:r>
        <w:rPr>
          <w:rFonts w:ascii="Arial" w:hAnsi="Arial"/>
          <w:color w:val="0F2A1D"/>
          <w:sz w:val="19"/>
        </w:rPr>
        <w:t xml:space="preserve"> Knowing that a drug binds target protein X is insufficient; clinicians need to know how target X alters the disease pathophysiology.</w:t>
      </w:r>
    </w:p>
    <w:p>
      <w:pPr>
        <w:pStyle w:val="ListBullet"/>
        <w:spacing w:after="60"/>
      </w:pPr>
      <w:r>
        <w:rPr>
          <w:rFonts w:ascii="Arial" w:hAnsi="Arial"/>
          <w:b/>
          <w:color w:val="0F2A1D"/>
          <w:sz w:val="19"/>
        </w:rPr>
        <w:t>Reactome Content Service Integration:</w:t>
      </w:r>
      <w:r>
        <w:rPr>
          <w:rFonts w:ascii="Arial" w:hAnsi="Arial"/>
          <w:color w:val="0F2A1D"/>
          <w:sz w:val="19"/>
        </w:rPr>
        <w:t xml:space="preserve"> Dynamically pulling biochemical signaling cascades, receptor pathways, and metabolic reactions for identified target genes.</w:t>
      </w:r>
    </w:p>
    <w:p>
      <w:pPr>
        <w:pStyle w:val="ListBullet"/>
        <w:spacing w:after="60"/>
      </w:pPr>
      <w:r>
        <w:rPr>
          <w:rFonts w:ascii="Arial" w:hAnsi="Arial"/>
          <w:b/>
          <w:color w:val="0F2A1D"/>
          <w:sz w:val="19"/>
        </w:rPr>
        <w:t>Deterministic Pathway Narrative:</w:t>
      </w:r>
      <w:r>
        <w:rPr>
          <w:rFonts w:ascii="Arial" w:hAnsi="Arial"/>
          <w:color w:val="0F2A1D"/>
          <w:sz w:val="19"/>
        </w:rPr>
        <w:t xml:space="preserve"> Feeding verified Reactome pathway nodes directly into the local Ollama LLM context window.</w:t>
      </w:r>
    </w:p>
    <w:p>
      <w:pPr>
        <w:pStyle w:val="ListBullet"/>
        <w:spacing w:after="60"/>
      </w:pPr>
      <w:r>
        <w:rPr>
          <w:rFonts w:ascii="Arial" w:hAnsi="Arial"/>
          <w:b/>
          <w:color w:val="0F2A1D"/>
          <w:sz w:val="19"/>
        </w:rPr>
        <w:t>Zero-Hallucination Biological Rationale:</w:t>
      </w:r>
      <w:r>
        <w:rPr>
          <w:rFonts w:ascii="Arial" w:hAnsi="Arial"/>
          <w:color w:val="0F2A1D"/>
          <w:sz w:val="19"/>
        </w:rPr>
        <w:t xml:space="preserve"> The LLM articulates the exact mechanism: 'Drug inhibits Target A -&gt; blocks downstream Phosphorylation Cascade B -&gt; reduces Inflammatory Cytokine C' without inventing biological fairy tales.</w:t>
      </w:r>
    </w:p>
    <w:p>
      <w:pPr>
        <w:pStyle w:val="ListBullet"/>
        <w:spacing w:after="60"/>
      </w:pPr>
      <w:r>
        <w:rPr>
          <w:rFonts w:ascii="Arial" w:hAnsi="Arial"/>
          <w:b/>
          <w:color w:val="0F2A1D"/>
          <w:sz w:val="19"/>
        </w:rPr>
        <w:t>Publication-Ready Dossiers:</w:t>
      </w:r>
      <w:r>
        <w:rPr>
          <w:rFonts w:ascii="Arial" w:hAnsi="Arial"/>
          <w:color w:val="0F2A1D"/>
          <w:sz w:val="19"/>
        </w:rPr>
        <w:t xml:space="preserve"> Generates mechanistic evidence summaries suitable for investigational new drug (IND) briefing documents.</w:t>
      </w:r>
    </w:p>
    <w:p>
      <w:pPr>
        <w:spacing w:before="120" w:after="40"/>
      </w:pPr>
      <w:r>
        <w:rPr>
          <w:rFonts w:ascii="Arial" w:hAnsi="Arial"/>
          <w:b/>
          <w:color w:val="0D9488"/>
          <w:sz w:val="18"/>
        </w:rPr>
        <w:t xml:space="preserve">📊 Recommended Visual: </w:t>
      </w:r>
      <w:r>
        <w:rPr>
          <w:rFonts w:ascii="Arial" w:hAnsi="Arial"/>
          <w:color w:val="0F2A1D"/>
          <w:sz w:val="18"/>
        </w:rPr>
        <w:t>Hierarchical biological diagram: Drug Molecule -&gt; Protein Binding -&gt; Reactome Pathway Cascade -&gt; Therapeutic Disease Resolution.</w:t>
        <w:br/>
      </w:r>
      <w:r>
        <w:rPr>
          <w:rFonts w:ascii="Arial" w:hAnsi="Arial"/>
          <w:b/>
          <w:color w:val="B45309"/>
          <w:sz w:val="18"/>
        </w:rPr>
        <w:t xml:space="preserve">🎙️ Speaker Notes: </w:t>
      </w:r>
      <w:r>
        <w:rPr>
          <w:rFonts w:ascii="Arial" w:hAnsi="Arial"/>
          <w:i/>
          <w:color w:val="0F2A1D"/>
          <w:sz w:val="18"/>
        </w:rPr>
        <w:t>Explain how Reactome bridges chemistry and medicine. The LLM doesn't hallucinate mechanisms because it is strictly constrained to summarize the verified Reactome pathway JSON payload.</w:t>
        <w:br/>
      </w:r>
      <w:r>
        <w:rPr>
          <w:rFonts w:ascii="Arial" w:hAnsi="Arial"/>
          <w:b/>
          <w:color w:val="1C6B42"/>
          <w:sz w:val="18"/>
        </w:rPr>
        <w:t xml:space="preserve">🏆 Competitive Edge: </w:t>
      </w:r>
      <w:r>
        <w:rPr>
          <w:rFonts w:ascii="Arial" w:hAnsi="Arial"/>
          <w:b/>
          <w:color w:val="0F2A1D"/>
          <w:sz w:val="18"/>
        </w:rPr>
        <w:t>Overcomes the number one criticism of AI in drug discovery: lack of mechanistic biological explainability.</w:t>
      </w:r>
    </w:p>
    <w:p>
      <w:pPr>
        <w:spacing w:after="240"/>
      </w:pPr>
    </w:p>
    <w:p>
      <w:pPr>
        <w:spacing w:after="160"/>
      </w:pPr>
    </w:p>
    <w:tbl>
      <w:tblPr>
        <w:tblW w:type="auto" w:w="0"/>
        <w:jc w:val="center"/>
        <w:tblLook w:firstColumn="1" w:firstRow="1" w:lastColumn="0" w:lastRow="0" w:noHBand="0" w:noVBand="1" w:val="04A0"/>
      </w:tblPr>
      <w:tblGrid>
        <w:gridCol w:w="5040"/>
        <w:gridCol w:w="5040"/>
      </w:tblGrid>
      <w:tr>
        <w:tc>
          <w:tcPr>
            <w:tcW w:type="dxa" w:w="7200"/>
            <w:shd w:fill="1C6B42"/>
            <w:tcMar>
              <w:top w:w="100" w:type="dxa"/>
              <w:bottom w:w="100" w:type="dxa"/>
              <w:left w:w="150" w:type="dxa"/>
              <w:right w:w="150" w:type="dxa"/>
            </w:tcMar>
          </w:tcPr>
          <w:p>
            <w:r>
              <w:rPr>
                <w:rFonts w:ascii="Arial" w:hAnsi="Arial"/>
                <w:b/>
                <w:color w:val="FFFFFF"/>
                <w:sz w:val="26"/>
              </w:rPr>
              <w:t>SLIDE 8: Regulatory Compliance: OECD, QMRF, &amp; ICH M7 Standards</w:t>
            </w:r>
          </w:p>
        </w:tc>
        <w:tc>
          <w:tcPr>
            <w:tcW w:type="dxa" w:w="2880"/>
            <w:shd w:fill="1C6B42"/>
            <w:tcMar>
              <w:top w:w="100" w:type="dxa"/>
              <w:bottom w:w="100" w:type="dxa"/>
              <w:left w:w="150" w:type="dxa"/>
              <w:right w:w="150" w:type="dxa"/>
            </w:tcMar>
          </w:tcPr>
          <w:p>
            <w:pPr>
              <w:jc w:val="right"/>
            </w:pPr>
            <w:r>
              <w:rPr>
                <w:rFonts w:ascii="Arial" w:hAnsi="Arial"/>
                <w:i/>
                <w:color w:val="D2F0E1"/>
                <w:sz w:val="18"/>
              </w:rPr>
              <w:t>Regulatory Affairs &amp; Clinical Governance</w:t>
            </w:r>
          </w:p>
        </w:tc>
      </w:tr>
    </w:tbl>
    <w:tbl>
      <w:tblPr>
        <w:tblW w:type="auto" w:w="0"/>
        <w:jc w:val="center"/>
        <w:tblLook w:firstColumn="1" w:firstRow="1" w:lastColumn="0" w:lastRow="0" w:noHBand="0" w:noVBand="1" w:val="04A0"/>
      </w:tblPr>
      <w:tblGrid>
        <w:gridCol w:w="10080"/>
      </w:tblGrid>
      <w:tr>
        <w:tc>
          <w:tcPr>
            <w:tcW w:type="dxa" w:w="10080"/>
            <w:shd w:fill="F4F9F6"/>
            <w:tcMar>
              <w:top w:w="140" w:type="dxa"/>
              <w:bottom w:w="140" w:type="dxa"/>
              <w:left w:w="180" w:type="dxa"/>
              <w:right w:w="180" w:type="dxa"/>
            </w:tcMar>
          </w:tcPr>
          <w:p>
            <w:r>
              <w:rPr>
                <w:rFonts w:ascii="Arial" w:hAnsi="Arial"/>
                <w:b/>
                <w:color w:val="1C6B42"/>
                <w:sz w:val="21"/>
              </w:rPr>
              <w:t>SLIDE BULLET POINTS:</w:t>
              <w:br/>
            </w:r>
          </w:p>
        </w:tc>
      </w:tr>
    </w:tbl>
    <w:p>
      <w:pPr>
        <w:pStyle w:val="ListBullet"/>
        <w:spacing w:after="60"/>
      </w:pPr>
      <w:r>
        <w:rPr>
          <w:rFonts w:ascii="Arial" w:hAnsi="Arial"/>
          <w:b/>
          <w:color w:val="0F2A1D"/>
          <w:sz w:val="19"/>
        </w:rPr>
        <w:t>OECD 5 Principles for QSAR Validation Compliance:</w:t>
      </w:r>
      <w:r>
        <w:rPr>
          <w:rFonts w:ascii="Arial" w:hAnsi="Arial"/>
          <w:color w:val="0F2A1D"/>
          <w:sz w:val="19"/>
        </w:rPr>
        <w:t xml:space="preserve"> 1) Defined biological endpoint; 2) Unambiguous computational algorithm; 3) Defined domain of applicability; 4) Appropriate measures of goodness-of-fit &amp; robustness; 5) Mechanistic interpretation.</w:t>
      </w:r>
    </w:p>
    <w:p>
      <w:pPr>
        <w:pStyle w:val="ListBullet"/>
        <w:spacing w:after="60"/>
      </w:pPr>
      <w:r>
        <w:rPr>
          <w:rFonts w:ascii="Arial" w:hAnsi="Arial"/>
          <w:b/>
          <w:color w:val="0F2A1D"/>
          <w:sz w:val="19"/>
        </w:rPr>
        <w:t>QMRF Automated Reporting:</w:t>
      </w:r>
      <w:r>
        <w:rPr>
          <w:rFonts w:ascii="Arial" w:hAnsi="Arial"/>
          <w:color w:val="0F2A1D"/>
          <w:sz w:val="19"/>
        </w:rPr>
        <w:t xml:space="preserve"> Capability to export standardized QSAR Model Reporting Format (QMRF) documentation for regulatory audits.</w:t>
      </w:r>
    </w:p>
    <w:p>
      <w:pPr>
        <w:pStyle w:val="ListBullet"/>
        <w:spacing w:after="60"/>
      </w:pPr>
      <w:r>
        <w:rPr>
          <w:rFonts w:ascii="Arial" w:hAnsi="Arial"/>
          <w:b/>
          <w:color w:val="0F2A1D"/>
          <w:sz w:val="19"/>
        </w:rPr>
        <w:t>ICH M7 Impurity &amp; DNA Reactivity Guidelines:</w:t>
      </w:r>
      <w:r>
        <w:rPr>
          <w:rFonts w:ascii="Arial" w:hAnsi="Arial"/>
          <w:color w:val="0F2A1D"/>
          <w:sz w:val="19"/>
        </w:rPr>
        <w:t xml:space="preserve"> Framework for assessing mutagenic and carcinogenic structural alerts in pharmaceutical compounds and synthesis derivatives.</w:t>
      </w:r>
    </w:p>
    <w:p>
      <w:pPr>
        <w:pStyle w:val="ListBullet"/>
        <w:spacing w:after="60"/>
      </w:pPr>
      <w:r>
        <w:rPr>
          <w:rFonts w:ascii="Arial" w:hAnsi="Arial"/>
          <w:b/>
          <w:color w:val="0F2A1D"/>
          <w:sz w:val="19"/>
        </w:rPr>
        <w:t>Explainable AI (XAI) &amp; Bias Management:</w:t>
      </w:r>
      <w:r>
        <w:rPr>
          <w:rFonts w:ascii="Arial" w:hAnsi="Arial"/>
          <w:color w:val="0F2A1D"/>
          <w:sz w:val="19"/>
        </w:rPr>
        <w:t xml:space="preserve"> SHAP-style feature attribution to reveal why the model flagged a property, eliminating black-box bias.</w:t>
      </w:r>
    </w:p>
    <w:p>
      <w:pPr>
        <w:pStyle w:val="ListBullet"/>
        <w:spacing w:after="60"/>
      </w:pPr>
      <w:r>
        <w:rPr>
          <w:rFonts w:ascii="Arial" w:hAnsi="Arial"/>
          <w:b/>
          <w:color w:val="0F2A1D"/>
          <w:sz w:val="19"/>
        </w:rPr>
        <w:t>Audit-Trail Verification:</w:t>
      </w:r>
      <w:r>
        <w:rPr>
          <w:rFonts w:ascii="Arial" w:hAnsi="Arial"/>
          <w:color w:val="0F2A1D"/>
          <w:sz w:val="19"/>
        </w:rPr>
        <w:t xml:space="preserve"> Every data point links back to PubMed IDs, ChEMBL assay IDs, or Open Targets evidence codes.</w:t>
      </w:r>
    </w:p>
    <w:p>
      <w:pPr>
        <w:spacing w:before="120" w:after="40"/>
      </w:pPr>
      <w:r>
        <w:rPr>
          <w:rFonts w:ascii="Arial" w:hAnsi="Arial"/>
          <w:b/>
          <w:color w:val="0D9488"/>
          <w:sz w:val="18"/>
        </w:rPr>
        <w:t xml:space="preserve">📊 Recommended Visual: </w:t>
      </w:r>
      <w:r>
        <w:rPr>
          <w:rFonts w:ascii="Arial" w:hAnsi="Arial"/>
          <w:color w:val="0F2A1D"/>
          <w:sz w:val="18"/>
        </w:rPr>
        <w:t>OECD 5-Pillar Compliance Badge with an illustration of a standardized QMRF Regulatory Report PDF.</w:t>
        <w:br/>
      </w:r>
      <w:r>
        <w:rPr>
          <w:rFonts w:ascii="Arial" w:hAnsi="Arial"/>
          <w:b/>
          <w:color w:val="B45309"/>
          <w:sz w:val="18"/>
        </w:rPr>
        <w:t xml:space="preserve">🎙️ Speaker Notes: </w:t>
      </w:r>
      <w:r>
        <w:rPr>
          <w:rFonts w:ascii="Arial" w:hAnsi="Arial"/>
          <w:i/>
          <w:color w:val="0F2A1D"/>
          <w:sz w:val="18"/>
        </w:rPr>
        <w:t>Judges with clinical or regulatory backgrounds will be stunned by this slide. Mention that ReMedX is architected from day one to align with OECD principles and ICH M7 guidelines, meaning data produced here can withstand regulatory scrutiny.</w:t>
        <w:br/>
      </w:r>
      <w:r>
        <w:rPr>
          <w:rFonts w:ascii="Arial" w:hAnsi="Arial"/>
          <w:b/>
          <w:color w:val="1C6B42"/>
          <w:sz w:val="18"/>
        </w:rPr>
        <w:t xml:space="preserve">🏆 Competitive Edge: </w:t>
      </w:r>
      <w:r>
        <w:rPr>
          <w:rFonts w:ascii="Arial" w:hAnsi="Arial"/>
          <w:b/>
          <w:color w:val="0F2A1D"/>
          <w:sz w:val="18"/>
        </w:rPr>
        <w:t>Demonstrates institutional maturity that 99% of hackathon student projects completely overlook.</w:t>
      </w:r>
    </w:p>
    <w:p>
      <w:pPr>
        <w:spacing w:after="240"/>
      </w:pPr>
    </w:p>
    <w:p>
      <w:pPr>
        <w:spacing w:after="160"/>
      </w:pPr>
    </w:p>
    <w:tbl>
      <w:tblPr>
        <w:tblW w:type="auto" w:w="0"/>
        <w:jc w:val="center"/>
        <w:tblLook w:firstColumn="1" w:firstRow="1" w:lastColumn="0" w:lastRow="0" w:noHBand="0" w:noVBand="1" w:val="04A0"/>
      </w:tblPr>
      <w:tblGrid>
        <w:gridCol w:w="5040"/>
        <w:gridCol w:w="5040"/>
      </w:tblGrid>
      <w:tr>
        <w:tc>
          <w:tcPr>
            <w:tcW w:type="dxa" w:w="7200"/>
            <w:shd w:fill="1C6B42"/>
            <w:tcMar>
              <w:top w:w="100" w:type="dxa"/>
              <w:bottom w:w="100" w:type="dxa"/>
              <w:left w:w="150" w:type="dxa"/>
              <w:right w:w="150" w:type="dxa"/>
            </w:tcMar>
          </w:tcPr>
          <w:p>
            <w:r>
              <w:rPr>
                <w:rFonts w:ascii="Arial" w:hAnsi="Arial"/>
                <w:b/>
                <w:color w:val="FFFFFF"/>
                <w:sz w:val="26"/>
              </w:rPr>
              <w:t>SLIDE 9: Commercial Dominance: The FDA 505(b)(2) Regulatory Pathway</w:t>
            </w:r>
          </w:p>
        </w:tc>
        <w:tc>
          <w:tcPr>
            <w:tcW w:type="dxa" w:w="2880"/>
            <w:shd w:fill="1C6B42"/>
            <w:tcMar>
              <w:top w:w="100" w:type="dxa"/>
              <w:bottom w:w="100" w:type="dxa"/>
              <w:left w:w="150" w:type="dxa"/>
              <w:right w:w="150" w:type="dxa"/>
            </w:tcMar>
          </w:tcPr>
          <w:p>
            <w:pPr>
              <w:jc w:val="right"/>
            </w:pPr>
            <w:r>
              <w:rPr>
                <w:rFonts w:ascii="Arial" w:hAnsi="Arial"/>
                <w:i/>
                <w:color w:val="D2F0E1"/>
                <w:sz w:val="18"/>
              </w:rPr>
              <w:t>Business Model, Economics, &amp; Patent Strategy</w:t>
            </w:r>
          </w:p>
        </w:tc>
      </w:tr>
    </w:tbl>
    <w:tbl>
      <w:tblPr>
        <w:tblW w:type="auto" w:w="0"/>
        <w:jc w:val="center"/>
        <w:tblLook w:firstColumn="1" w:firstRow="1" w:lastColumn="0" w:lastRow="0" w:noHBand="0" w:noVBand="1" w:val="04A0"/>
      </w:tblPr>
      <w:tblGrid>
        <w:gridCol w:w="10080"/>
      </w:tblGrid>
      <w:tr>
        <w:tc>
          <w:tcPr>
            <w:tcW w:type="dxa" w:w="10080"/>
            <w:shd w:fill="F4F9F6"/>
            <w:tcMar>
              <w:top w:w="140" w:type="dxa"/>
              <w:bottom w:w="140" w:type="dxa"/>
              <w:left w:w="180" w:type="dxa"/>
              <w:right w:w="180" w:type="dxa"/>
            </w:tcMar>
          </w:tcPr>
          <w:p>
            <w:r>
              <w:rPr>
                <w:rFonts w:ascii="Arial" w:hAnsi="Arial"/>
                <w:b/>
                <w:color w:val="1C6B42"/>
                <w:sz w:val="21"/>
              </w:rPr>
              <w:t>SLIDE BULLET POINTS:</w:t>
              <w:br/>
            </w:r>
          </w:p>
        </w:tc>
      </w:tr>
    </w:tbl>
    <w:p>
      <w:pPr>
        <w:pStyle w:val="ListBullet"/>
        <w:spacing w:after="60"/>
      </w:pPr>
      <w:r>
        <w:rPr>
          <w:rFonts w:ascii="Arial" w:hAnsi="Arial"/>
          <w:b/>
          <w:color w:val="0F2A1D"/>
          <w:sz w:val="19"/>
        </w:rPr>
        <w:t>The $2.3 Billion Arbitrage:</w:t>
      </w:r>
      <w:r>
        <w:rPr>
          <w:rFonts w:ascii="Arial" w:hAnsi="Arial"/>
          <w:color w:val="0F2A1D"/>
          <w:sz w:val="19"/>
        </w:rPr>
        <w:t xml:space="preserve"> De Novo 505(b)(1) development costs $2.6 Billion and 10-17 years with 90% failure. Repurposing via 505(b)(2) costs ~$300 Million and takes 3-12 years with a 30% success rate (3x higher).</w:t>
      </w:r>
    </w:p>
    <w:p>
      <w:pPr>
        <w:pStyle w:val="ListBullet"/>
        <w:spacing w:after="60"/>
      </w:pPr>
      <w:r>
        <w:rPr>
          <w:rFonts w:ascii="Arial" w:hAnsi="Arial"/>
          <w:b/>
          <w:color w:val="0F2A1D"/>
          <w:sz w:val="19"/>
        </w:rPr>
        <w:t>FDA 505(b)(2) Strategic Advantage:</w:t>
      </w:r>
      <w:r>
        <w:rPr>
          <w:rFonts w:ascii="Arial" w:hAnsi="Arial"/>
          <w:color w:val="0F2A1D"/>
          <w:sz w:val="19"/>
        </w:rPr>
        <w:t xml:space="preserve"> Sponsors legally rely on FDA's prior findings of safety and published literature for the Reference Listed Drug (RLD), bypassing high-risk Phase I trials.</w:t>
      </w:r>
    </w:p>
    <w:p>
      <w:pPr>
        <w:pStyle w:val="ListBullet"/>
        <w:spacing w:after="60"/>
      </w:pPr>
      <w:r>
        <w:rPr>
          <w:rFonts w:ascii="Arial" w:hAnsi="Arial"/>
          <w:b/>
          <w:color w:val="0F2A1D"/>
          <w:sz w:val="19"/>
        </w:rPr>
        <w:t>Exclusivity &amp; Orphan Disease Potential:</w:t>
      </w:r>
      <w:r>
        <w:rPr>
          <w:rFonts w:ascii="Arial" w:hAnsi="Arial"/>
          <w:color w:val="0F2A1D"/>
          <w:sz w:val="19"/>
        </w:rPr>
        <w:t xml:space="preserve"> Securing 3 to 5 years of regulatory market exclusivity, or 7 years for Orphan Drug Designation (&lt;200k patient populations).</w:t>
      </w:r>
    </w:p>
    <w:p>
      <w:pPr>
        <w:pStyle w:val="ListBullet"/>
        <w:spacing w:after="60"/>
      </w:pPr>
      <w:r>
        <w:rPr>
          <w:rFonts w:ascii="Arial" w:hAnsi="Arial"/>
          <w:b/>
          <w:color w:val="0F2A1D"/>
          <w:sz w:val="19"/>
        </w:rPr>
        <w:t>Indian Patents Act Section 3(k) Navigation:</w:t>
      </w:r>
      <w:r>
        <w:rPr>
          <w:rFonts w:ascii="Arial" w:hAnsi="Arial"/>
          <w:color w:val="0F2A1D"/>
          <w:sz w:val="19"/>
        </w:rPr>
        <w:t xml:space="preserve"> Securing patentability by anchoring claims to concrete technical effects (verifiable 0.0% hallucination rate, distributed GPU/ASGI processing architecture, and physically testable formulation parameters).</w:t>
      </w:r>
    </w:p>
    <w:p>
      <w:pPr>
        <w:pStyle w:val="ListBullet"/>
        <w:spacing w:after="60"/>
      </w:pPr>
      <w:r>
        <w:rPr>
          <w:rFonts w:ascii="Arial" w:hAnsi="Arial"/>
          <w:b/>
          <w:color w:val="0F2A1D"/>
          <w:sz w:val="19"/>
        </w:rPr>
        <w:t>CMC Risk Anticipation:</w:t>
      </w:r>
      <w:r>
        <w:rPr>
          <w:rFonts w:ascii="Arial" w:hAnsi="Arial"/>
          <w:color w:val="0F2A1D"/>
          <w:sz w:val="19"/>
        </w:rPr>
        <w:t xml:space="preserve"> Providing early physicochemical solubility and stability profiles to tackle Chemistry, Manufacturing, and Controls (CMC) hurdles that cause 73% of 505(b)(2) delays.</w:t>
      </w:r>
    </w:p>
    <w:p>
      <w:pPr>
        <w:spacing w:before="120" w:after="40"/>
      </w:pPr>
      <w:r>
        <w:rPr>
          <w:rFonts w:ascii="Arial" w:hAnsi="Arial"/>
          <w:b/>
          <w:color w:val="0D9488"/>
          <w:sz w:val="18"/>
        </w:rPr>
        <w:t xml:space="preserve">📊 Recommended Visual: </w:t>
      </w:r>
      <w:r>
        <w:rPr>
          <w:rFonts w:ascii="Arial" w:hAnsi="Arial"/>
          <w:color w:val="0F2A1D"/>
          <w:sz w:val="18"/>
        </w:rPr>
        <w:t>Economic Comparison Bar Chart: $2.6B (De Novo) vs. $300M (ReMedX Repurposing) + Timeline comparison (15 years vs. 5 years).</w:t>
        <w:br/>
      </w:r>
      <w:r>
        <w:rPr>
          <w:rFonts w:ascii="Arial" w:hAnsi="Arial"/>
          <w:b/>
          <w:color w:val="B45309"/>
          <w:sz w:val="18"/>
        </w:rPr>
        <w:t xml:space="preserve">🎙️ Speaker Notes: </w:t>
      </w:r>
      <w:r>
        <w:rPr>
          <w:rFonts w:ascii="Arial" w:hAnsi="Arial"/>
          <w:i/>
          <w:color w:val="0F2A1D"/>
          <w:sz w:val="18"/>
        </w:rPr>
        <w:t>Highlight the business case. We are not just doing computer science; we are unlocking a $300M, 505(b)(2) fast-track regulatory pipeline. This slide proves commercial feasibility and patent viability under Indian patent law.</w:t>
        <w:br/>
      </w:r>
      <w:r>
        <w:rPr>
          <w:rFonts w:ascii="Arial" w:hAnsi="Arial"/>
          <w:b/>
          <w:color w:val="1C6B42"/>
          <w:sz w:val="18"/>
        </w:rPr>
        <w:t xml:space="preserve">🏆 Competitive Edge: </w:t>
      </w:r>
      <w:r>
        <w:rPr>
          <w:rFonts w:ascii="Arial" w:hAnsi="Arial"/>
          <w:b/>
          <w:color w:val="0F2A1D"/>
          <w:sz w:val="18"/>
        </w:rPr>
        <w:t>Provides the commercial and legal justification required to win the grand prize.</w:t>
      </w:r>
    </w:p>
    <w:p>
      <w:pPr>
        <w:spacing w:after="240"/>
      </w:pPr>
    </w:p>
    <w:p>
      <w:pPr>
        <w:spacing w:after="160"/>
      </w:pPr>
    </w:p>
    <w:tbl>
      <w:tblPr>
        <w:tblW w:type="auto" w:w="0"/>
        <w:jc w:val="center"/>
        <w:tblLook w:firstColumn="1" w:firstRow="1" w:lastColumn="0" w:lastRow="0" w:noHBand="0" w:noVBand="1" w:val="04A0"/>
      </w:tblPr>
      <w:tblGrid>
        <w:gridCol w:w="5040"/>
        <w:gridCol w:w="5040"/>
      </w:tblGrid>
      <w:tr>
        <w:tc>
          <w:tcPr>
            <w:tcW w:type="dxa" w:w="7200"/>
            <w:shd w:fill="1C6B42"/>
            <w:tcMar>
              <w:top w:w="100" w:type="dxa"/>
              <w:bottom w:w="100" w:type="dxa"/>
              <w:left w:w="150" w:type="dxa"/>
              <w:right w:w="150" w:type="dxa"/>
            </w:tcMar>
          </w:tcPr>
          <w:p>
            <w:r>
              <w:rPr>
                <w:rFonts w:ascii="Arial" w:hAnsi="Arial"/>
                <w:b/>
                <w:color w:val="FFFFFF"/>
                <w:sz w:val="26"/>
              </w:rPr>
              <w:t>SLIDE 10: Future Horizons: Multi-Modal Data Fusion &amp; Generative AI</w:t>
            </w:r>
          </w:p>
        </w:tc>
        <w:tc>
          <w:tcPr>
            <w:tcW w:type="dxa" w:w="2880"/>
            <w:shd w:fill="1C6B42"/>
            <w:tcMar>
              <w:top w:w="100" w:type="dxa"/>
              <w:bottom w:w="100" w:type="dxa"/>
              <w:left w:w="150" w:type="dxa"/>
              <w:right w:w="150" w:type="dxa"/>
            </w:tcMar>
          </w:tcPr>
          <w:p>
            <w:pPr>
              <w:jc w:val="right"/>
            </w:pPr>
            <w:r>
              <w:rPr>
                <w:rFonts w:ascii="Arial" w:hAnsi="Arial"/>
                <w:i/>
                <w:color w:val="D2F0E1"/>
                <w:sz w:val="18"/>
              </w:rPr>
              <w:t>Technology Roadmap &amp; Scalability</w:t>
            </w:r>
          </w:p>
        </w:tc>
      </w:tr>
    </w:tbl>
    <w:tbl>
      <w:tblPr>
        <w:tblW w:type="auto" w:w="0"/>
        <w:jc w:val="center"/>
        <w:tblLook w:firstColumn="1" w:firstRow="1" w:lastColumn="0" w:lastRow="0" w:noHBand="0" w:noVBand="1" w:val="04A0"/>
      </w:tblPr>
      <w:tblGrid>
        <w:gridCol w:w="10080"/>
      </w:tblGrid>
      <w:tr>
        <w:tc>
          <w:tcPr>
            <w:tcW w:type="dxa" w:w="10080"/>
            <w:shd w:fill="F4F9F6"/>
            <w:tcMar>
              <w:top w:w="140" w:type="dxa"/>
              <w:bottom w:w="140" w:type="dxa"/>
              <w:left w:w="180" w:type="dxa"/>
              <w:right w:w="180" w:type="dxa"/>
            </w:tcMar>
          </w:tcPr>
          <w:p>
            <w:r>
              <w:rPr>
                <w:rFonts w:ascii="Arial" w:hAnsi="Arial"/>
                <w:b/>
                <w:color w:val="1C6B42"/>
                <w:sz w:val="21"/>
              </w:rPr>
              <w:t>SLIDE BULLET POINTS:</w:t>
              <w:br/>
            </w:r>
          </w:p>
        </w:tc>
      </w:tr>
    </w:tbl>
    <w:p>
      <w:pPr>
        <w:pStyle w:val="ListBullet"/>
        <w:spacing w:after="60"/>
      </w:pPr>
      <w:r>
        <w:rPr>
          <w:rFonts w:ascii="Arial" w:hAnsi="Arial"/>
          <w:b/>
          <w:color w:val="0F2A1D"/>
          <w:sz w:val="19"/>
        </w:rPr>
        <w:t>Multi-Modal Data Integration:</w:t>
      </w:r>
      <w:r>
        <w:rPr>
          <w:rFonts w:ascii="Arial" w:hAnsi="Arial"/>
          <w:color w:val="0F2A1D"/>
          <w:sz w:val="19"/>
        </w:rPr>
        <w:t xml:space="preserve"> Fusing molecular structures (SMILES/3D graphs), genomic transcriptomics (RNA-seq / GWAS), and Real-World Evidence (RWE EHR clinical patient records).</w:t>
      </w:r>
    </w:p>
    <w:p>
      <w:pPr>
        <w:pStyle w:val="ListBullet"/>
        <w:spacing w:after="60"/>
      </w:pPr>
      <w:r>
        <w:rPr>
          <w:rFonts w:ascii="Arial" w:hAnsi="Arial"/>
          <w:b/>
          <w:color w:val="0F2A1D"/>
          <w:sz w:val="19"/>
        </w:rPr>
        <w:t>Generative AI Molecular Optimization:</w:t>
      </w:r>
      <w:r>
        <w:rPr>
          <w:rFonts w:ascii="Arial" w:hAnsi="Arial"/>
          <w:color w:val="0F2A1D"/>
          <w:sz w:val="19"/>
        </w:rPr>
        <w:t xml:space="preserve"> Taking a verified repurposed candidate and using generative diffusion models to perform micro-optimizations (scaffold morphing) to overcome patent fences.</w:t>
      </w:r>
    </w:p>
    <w:p>
      <w:pPr>
        <w:pStyle w:val="ListBullet"/>
        <w:spacing w:after="60"/>
      </w:pPr>
      <w:r>
        <w:rPr>
          <w:rFonts w:ascii="Arial" w:hAnsi="Arial"/>
          <w:b/>
          <w:color w:val="0F2A1D"/>
          <w:sz w:val="19"/>
        </w:rPr>
        <w:t>GastroPlus PBPK Simulation:</w:t>
      </w:r>
      <w:r>
        <w:rPr>
          <w:rFonts w:ascii="Arial" w:hAnsi="Arial"/>
          <w:color w:val="0F2A1D"/>
          <w:sz w:val="19"/>
        </w:rPr>
        <w:t xml:space="preserve"> Integrating physiologically based pharmacokinetic (PBPK) virtual human gut/liver/plasma simulation before in vitro synthesis.</w:t>
      </w:r>
    </w:p>
    <w:p>
      <w:pPr>
        <w:pStyle w:val="ListBullet"/>
        <w:spacing w:after="60"/>
      </w:pPr>
      <w:r>
        <w:rPr>
          <w:rFonts w:ascii="Arial" w:hAnsi="Arial"/>
          <w:b/>
          <w:color w:val="0F2A1D"/>
          <w:sz w:val="19"/>
        </w:rPr>
        <w:t>Distributed Production Infrastructure:</w:t>
      </w:r>
      <w:r>
        <w:rPr>
          <w:rFonts w:ascii="Arial" w:hAnsi="Arial"/>
          <w:color w:val="0F2A1D"/>
          <w:sz w:val="19"/>
        </w:rPr>
        <w:t xml:space="preserve"> Transitioning from local Flask to asynchronous FastAPI + Celery distributed worker queues + PostgreSQL with pgvector for billion-scale structural similarity searches.</w:t>
      </w:r>
    </w:p>
    <w:p>
      <w:pPr>
        <w:pStyle w:val="ListBullet"/>
        <w:spacing w:after="60"/>
      </w:pPr>
      <w:r>
        <w:rPr>
          <w:rFonts w:ascii="Arial" w:hAnsi="Arial"/>
          <w:b/>
          <w:color w:val="0F2A1D"/>
          <w:sz w:val="19"/>
        </w:rPr>
        <w:t>Ultimate Mission:</w:t>
      </w:r>
      <w:r>
        <w:rPr>
          <w:rFonts w:ascii="Arial" w:hAnsi="Arial"/>
          <w:color w:val="0F2A1D"/>
          <w:sz w:val="19"/>
        </w:rPr>
        <w:t xml:space="preserve"> Compressing decades of clinical trial trial-and-error into hours of deterministic computation.</w:t>
      </w:r>
    </w:p>
    <w:p>
      <w:pPr>
        <w:spacing w:before="120" w:after="40"/>
      </w:pPr>
      <w:r>
        <w:rPr>
          <w:rFonts w:ascii="Arial" w:hAnsi="Arial"/>
          <w:b/>
          <w:color w:val="0D9488"/>
          <w:sz w:val="18"/>
        </w:rPr>
        <w:t xml:space="preserve">📊 Recommended Visual: </w:t>
      </w:r>
      <w:r>
        <w:rPr>
          <w:rFonts w:ascii="Arial" w:hAnsi="Arial"/>
          <w:color w:val="0F2A1D"/>
          <w:sz w:val="18"/>
        </w:rPr>
        <w:t>Roadmap timeline showing Phase 1 (Core Pipeline - Built), Phase 2 (PBPK &amp; Multi-Modal - Q3), Phase 3 (Generative Lead Optimization - Q4).</w:t>
        <w:br/>
      </w:r>
      <w:r>
        <w:rPr>
          <w:rFonts w:ascii="Arial" w:hAnsi="Arial"/>
          <w:b/>
          <w:color w:val="B45309"/>
          <w:sz w:val="18"/>
        </w:rPr>
        <w:t xml:space="preserve">🎙️ Speaker Notes: </w:t>
      </w:r>
      <w:r>
        <w:rPr>
          <w:rFonts w:ascii="Arial" w:hAnsi="Arial"/>
          <w:i/>
          <w:color w:val="0F2A1D"/>
          <w:sz w:val="18"/>
        </w:rPr>
        <w:t>Conclude your presentation here. 'ReMedX starts today with deterministic biological repurposing, and scales into a multi-modal, generative precision medicine platform. Thank you, and we welcome your questions.'</w:t>
        <w:br/>
      </w:r>
      <w:r>
        <w:rPr>
          <w:rFonts w:ascii="Arial" w:hAnsi="Arial"/>
          <w:b/>
          <w:color w:val="1C6B42"/>
          <w:sz w:val="18"/>
        </w:rPr>
        <w:t xml:space="preserve">🏆 Competitive Edge: </w:t>
      </w:r>
      <w:r>
        <w:rPr>
          <w:rFonts w:ascii="Arial" w:hAnsi="Arial"/>
          <w:b/>
          <w:color w:val="0F2A1D"/>
          <w:sz w:val="18"/>
        </w:rPr>
        <w:t>Leaves the judges with a compelling, visionary future that demonstrates high technical ambition.</w:t>
      </w:r>
    </w:p>
    <w:p>
      <w:pPr>
        <w:spacing w:after="24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