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Arial" w:hAnsi="Arial"/>
          <w:b/>
          <w:color w:val="003366"/>
          <w:sz w:val="52"/>
        </w:rPr>
        <w:t>BOSS (BANK OPERATIONS &amp; SCREENING SYSTEM)</w:t>
        <w:br/>
      </w:r>
    </w:p>
    <w:p>
      <w:pPr>
        <w:jc w:val="center"/>
      </w:pPr>
      <w:r>
        <w:rPr>
          <w:rFonts w:ascii="Arial" w:hAnsi="Arial"/>
          <w:b w:val="0"/>
          <w:color w:val="708090"/>
          <w:sz w:val="28"/>
        </w:rPr>
        <w:t>Comprehensive Codebase Architecture &amp; Reference Document</w:t>
        <w:br/>
      </w:r>
    </w:p>
    <w:p>
      <w:pPr>
        <w:spacing w:before="2880"/>
        <w:jc w:val="center"/>
      </w:pPr>
      <w:r>
        <w:rPr>
          <w:rFonts w:ascii="Arial" w:hAnsi="Arial"/>
          <w:color w:val="808080"/>
          <w:sz w:val="21"/>
        </w:rPr>
        <w:t>Client: Karnataka Bank Limited (KBL)</w:t>
        <w:br/>
        <w:t>Prepared for: Development &amp; Audit Teams</w:t>
        <w:br/>
        <w:t>Date: June 2026</w:t>
        <w:br/>
        <w:t>Version: 1.0 (Detailed Specification)</w:t>
      </w:r>
    </w:p>
    <w:p>
      <w:r>
        <w:br w:type="page"/>
      </w:r>
    </w:p>
    <w:p>
      <w:pPr>
        <w:pStyle w:val="Heading1"/>
        <w:keepNext/>
        <w:spacing w:before="360" w:after="120"/>
      </w:pPr>
      <w:r>
        <w:rPr>
          <w:rFonts w:ascii="Arial" w:hAnsi="Arial"/>
          <w:b/>
          <w:color w:val="003366"/>
          <w:sz w:val="36"/>
        </w:rPr>
        <w:t>1. Executive Summary &amp; System Domain</w:t>
      </w:r>
    </w:p>
    <w:p>
      <w:pPr>
        <w:spacing w:after="120" w:line="276" w:lineRule="auto"/>
      </w:pPr>
      <w:r>
        <w:rPr>
          <w:rFonts w:ascii="Arial" w:hAnsi="Arial"/>
          <w:color w:val="333333"/>
          <w:sz w:val="21"/>
        </w:rPr>
        <w:t>The Bank Operations &amp; Screening System (BOSS) is a web application customized for Karnataka Bank Limited. Its primary objective is to manage the reporting, tracking, and evaluation of Non-Performing Assets (NPAs) and delinquency incidents. BOSS provides structured accountability auditing for loans that have fallen into default, ensuring regulatory compliance and oversight of potential internal lapses.</w:t>
      </w:r>
    </w:p>
    <w:p>
      <w:pPr>
        <w:pStyle w:val="Heading2"/>
        <w:keepNext/>
        <w:spacing w:before="280" w:after="80"/>
      </w:pPr>
      <w:r>
        <w:rPr>
          <w:rFonts w:ascii="Arial" w:hAnsi="Arial"/>
          <w:b/>
          <w:color w:val="708090"/>
          <w:sz w:val="28"/>
        </w:rPr>
        <w:t>1.1 Core Business Operations</w:t>
      </w:r>
    </w:p>
    <w:p>
      <w:pPr>
        <w:spacing w:after="120" w:line="276" w:lineRule="auto"/>
      </w:pPr>
      <w:r>
        <w:rPr>
          <w:rFonts w:ascii="Arial" w:hAnsi="Arial"/>
          <w:color w:val="333333"/>
          <w:sz w:val="21"/>
        </w:rPr>
        <w:t>The application serves three distinct operational workflows:</w:t>
      </w:r>
    </w:p>
    <w:p>
      <w:pPr>
        <w:pStyle w:val="ListBullet"/>
        <w:spacing w:after="60" w:line="276" w:lineRule="auto"/>
      </w:pPr>
      <w:r>
        <w:rPr>
          <w:rFonts w:ascii="Arial" w:hAnsi="Arial"/>
          <w:b/>
          <w:color w:val="333333"/>
          <w:sz w:val="21"/>
        </w:rPr>
        <w:t xml:space="preserve">Preliminary Screening Committee (PSC) Review: </w:t>
      </w:r>
      <w:r>
        <w:rPr>
          <w:rFonts w:ascii="Arial" w:hAnsi="Arial"/>
          <w:color w:val="333333"/>
          <w:sz w:val="21"/>
        </w:rPr>
        <w:t>The committee assesses the commercial metrics of delinquent accounts, reviews sanctioned limits vs. outstanding balances, verifies collateral values, and initiates early delinquency cases.</w:t>
      </w:r>
    </w:p>
    <w:p>
      <w:pPr>
        <w:pStyle w:val="ListBullet"/>
        <w:spacing w:after="60" w:line="276" w:lineRule="auto"/>
      </w:pPr>
      <w:r>
        <w:rPr>
          <w:rFonts w:ascii="Arial" w:hAnsi="Arial"/>
          <w:b/>
          <w:color w:val="333333"/>
          <w:sz w:val="21"/>
        </w:rPr>
        <w:t xml:space="preserve">Staff Accountability Committee (SAC) Review: </w:t>
      </w:r>
      <w:r>
        <w:rPr>
          <w:rFonts w:ascii="Arial" w:hAnsi="Arial"/>
          <w:color w:val="333333"/>
          <w:sz w:val="21"/>
        </w:rPr>
        <w:t>Formed to evaluate if the default was caused, enabled, or exacerbated by bank employee negligence, procedural violations, or collusion. This stage evaluates specific staff designations, past branch locations, and lists explicit lapses.</w:t>
      </w:r>
    </w:p>
    <w:p>
      <w:pPr>
        <w:pStyle w:val="ListBullet"/>
        <w:spacing w:after="60" w:line="276" w:lineRule="auto"/>
      </w:pPr>
      <w:r>
        <w:rPr>
          <w:rFonts w:ascii="Arial" w:hAnsi="Arial"/>
          <w:b/>
          <w:color w:val="333333"/>
          <w:sz w:val="21"/>
        </w:rPr>
        <w:t xml:space="preserve">Minutes of Meetings (MOM) Management: </w:t>
      </w:r>
      <w:r>
        <w:rPr>
          <w:rFonts w:ascii="Arial" w:hAnsi="Arial"/>
          <w:color w:val="333333"/>
          <w:sz w:val="21"/>
        </w:rPr>
        <w:t>The official corporate governance mechanism that compiles decisions, logs attendee lists, tracks review types (e.g., PSC1, PSC2, SAC), and publishes printable meeting files. A meeting must be officially closed before the default statuses are locked in.</w:t>
      </w:r>
    </w:p>
    <w:p>
      <w:pPr>
        <w:pStyle w:val="Heading1"/>
        <w:keepNext/>
        <w:spacing w:before="360" w:after="120"/>
      </w:pPr>
      <w:r>
        <w:rPr>
          <w:rFonts w:ascii="Arial" w:hAnsi="Arial"/>
          <w:b/>
          <w:color w:val="003366"/>
          <w:sz w:val="36"/>
        </w:rPr>
        <w:t>2. Technical Architecture &amp; Technology Stack</w:t>
      </w:r>
    </w:p>
    <w:p>
      <w:pPr>
        <w:spacing w:after="120" w:line="276" w:lineRule="auto"/>
      </w:pPr>
      <w:r>
        <w:rPr>
          <w:rFonts w:ascii="Arial" w:hAnsi="Arial"/>
          <w:color w:val="333333"/>
          <w:sz w:val="21"/>
        </w:rPr>
        <w:t>The application is developed as a modular web system utilizing standard Python libraries and Django's model-view-controller abstractions.</w:t>
      </w:r>
    </w:p>
    <w:p>
      <w:pPr>
        <w:pStyle w:val="Heading2"/>
        <w:keepNext/>
        <w:spacing w:before="280" w:after="80"/>
      </w:pPr>
      <w:r>
        <w:rPr>
          <w:rFonts w:ascii="Arial" w:hAnsi="Arial"/>
          <w:b/>
          <w:color w:val="708090"/>
          <w:sz w:val="28"/>
        </w:rPr>
        <w:t>2.1 Core Frameworks</w:t>
      </w:r>
    </w:p>
    <w:p>
      <w:pPr>
        <w:pStyle w:val="ListBullet"/>
        <w:spacing w:after="60" w:line="276" w:lineRule="auto"/>
      </w:pPr>
      <w:r>
        <w:rPr>
          <w:rFonts w:ascii="Arial" w:hAnsi="Arial"/>
          <w:b/>
          <w:color w:val="333333"/>
          <w:sz w:val="21"/>
        </w:rPr>
        <w:t xml:space="preserve">Core Framework: </w:t>
      </w:r>
      <w:r>
        <w:rPr>
          <w:rFonts w:ascii="Arial" w:hAnsi="Arial"/>
          <w:color w:val="333333"/>
          <w:sz w:val="21"/>
        </w:rPr>
        <w:t>Django 3.1.2 (LTS): Manages ORM persistence, session configurations, form postings, and HTML template rendering.</w:t>
      </w:r>
    </w:p>
    <w:p>
      <w:pPr>
        <w:pStyle w:val="ListBullet"/>
        <w:spacing w:after="60" w:line="276" w:lineRule="auto"/>
      </w:pPr>
      <w:r>
        <w:rPr>
          <w:rFonts w:ascii="Arial" w:hAnsi="Arial"/>
          <w:b/>
          <w:color w:val="333333"/>
          <w:sz w:val="21"/>
        </w:rPr>
        <w:t xml:space="preserve">API Layer: </w:t>
      </w:r>
      <w:r>
        <w:rPr>
          <w:rFonts w:ascii="Arial" w:hAnsi="Arial"/>
          <w:color w:val="333333"/>
          <w:sz w:val="21"/>
        </w:rPr>
        <w:t>Django REST Framework 3.12.1: Exposes APIs for dynamic UI validations (e.g., branch and user check forms) and dashboard query endpoints.</w:t>
      </w:r>
    </w:p>
    <w:p>
      <w:pPr>
        <w:pStyle w:val="ListBullet"/>
        <w:spacing w:after="60" w:line="276" w:lineRule="auto"/>
      </w:pPr>
      <w:r>
        <w:rPr>
          <w:rFonts w:ascii="Arial" w:hAnsi="Arial"/>
          <w:b/>
          <w:color w:val="333333"/>
          <w:sz w:val="21"/>
        </w:rPr>
        <w:t xml:space="preserve">Session Security: </w:t>
      </w:r>
      <w:r>
        <w:rPr>
          <w:rFonts w:ascii="Arial" w:hAnsi="Arial"/>
          <w:color w:val="333333"/>
          <w:sz w:val="21"/>
        </w:rPr>
        <w:t>django-session-timeout (0.1.0): Configured in settings to automatically expire user sessions after 15 minutes of inactivity (900 seconds) and redirect to the logout route.</w:t>
      </w:r>
    </w:p>
    <w:p>
      <w:pPr>
        <w:pStyle w:val="Heading2"/>
        <w:keepNext/>
        <w:spacing w:before="280" w:after="80"/>
      </w:pPr>
      <w:r>
        <w:rPr>
          <w:rFonts w:ascii="Arial" w:hAnsi="Arial"/>
          <w:b/>
          <w:color w:val="708090"/>
          <w:sz w:val="28"/>
        </w:rPr>
        <w:t>2.2 Multi-Tenant Database Layout</w:t>
      </w:r>
    </w:p>
    <w:p>
      <w:pPr>
        <w:spacing w:after="120" w:line="276" w:lineRule="auto"/>
      </w:pPr>
      <w:r>
        <w:rPr>
          <w:rFonts w:ascii="Arial" w:hAnsi="Arial"/>
          <w:color w:val="333333"/>
          <w:sz w:val="21"/>
        </w:rPr>
        <w:t>BOSS supports multi-tenancy to host distinct database catalogs for different bank branches or regions:</w:t>
      </w:r>
    </w:p>
    <w:p>
      <w:pPr>
        <w:pStyle w:val="ListBullet"/>
        <w:spacing w:after="60" w:line="276" w:lineRule="auto"/>
      </w:pPr>
      <w:r>
        <w:rPr>
          <w:rFonts w:ascii="Arial" w:hAnsi="Arial"/>
          <w:b/>
          <w:color w:val="333333"/>
          <w:sz w:val="21"/>
        </w:rPr>
        <w:t xml:space="preserve">Development Environment (dev.py): </w:t>
      </w:r>
      <w:r>
        <w:rPr>
          <w:rFonts w:ascii="Arial" w:hAnsi="Arial"/>
          <w:color w:val="333333"/>
          <w:sz w:val="21"/>
        </w:rPr>
        <w:t>Mapped through the custom routing module tenants.router.TenantRouter. Individual domains (e.g., fincare.localhost, jana.localhost, hdfc.localhost, kotak.localhost) map to separate SQLite files (default.db.sqlite3).</w:t>
      </w:r>
    </w:p>
    <w:p>
      <w:pPr>
        <w:pStyle w:val="ListBullet"/>
        <w:spacing w:after="60" w:line="276" w:lineRule="auto"/>
      </w:pPr>
      <w:r>
        <w:rPr>
          <w:rFonts w:ascii="Arial" w:hAnsi="Arial"/>
          <w:b/>
          <w:color w:val="333333"/>
          <w:sz w:val="21"/>
        </w:rPr>
        <w:t xml:space="preserve">Production Environment (prod.py): </w:t>
      </w:r>
      <w:r>
        <w:rPr>
          <w:rFonts w:ascii="Arial" w:hAnsi="Arial"/>
          <w:color w:val="333333"/>
          <w:sz w:val="21"/>
        </w:rPr>
        <w:t>Utilizes a single production PostgreSQL instance on port 5945. Search paths are isolated to the specific schema (cbcadm) using connection options settings, protecting transactional data from crossing tenant boundaries.</w:t>
      </w:r>
    </w:p>
    <w:p>
      <w:pPr>
        <w:pStyle w:val="Heading2"/>
        <w:keepNext/>
        <w:spacing w:before="280" w:after="80"/>
      </w:pPr>
      <w:r>
        <w:rPr>
          <w:rFonts w:ascii="Arial" w:hAnsi="Arial"/>
          <w:b/>
          <w:color w:val="708090"/>
          <w:sz w:val="28"/>
        </w:rPr>
        <w:t>2.3 LDAP Active Directory Authentication</w:t>
      </w:r>
    </w:p>
    <w:p>
      <w:pPr>
        <w:spacing w:after="120" w:line="276" w:lineRule="auto"/>
      </w:pPr>
      <w:r>
        <w:rPr>
          <w:rFonts w:ascii="Arial" w:hAnsi="Arial"/>
          <w:color w:val="333333"/>
          <w:sz w:val="21"/>
        </w:rPr>
        <w:t>Employee authentication relies on direct Active Directory integration instead of local database password hashes:</w:t>
      </w:r>
    </w:p>
    <w:p>
      <w:pPr>
        <w:pStyle w:val="ListBullet"/>
        <w:spacing w:after="60" w:line="276" w:lineRule="auto"/>
      </w:pPr>
      <w:r>
        <w:rPr>
          <w:rFonts w:ascii="Arial" w:hAnsi="Arial"/>
          <w:b/>
          <w:color w:val="333333"/>
          <w:sz w:val="21"/>
        </w:rPr>
        <w:t xml:space="preserve">LDAP Bind: </w:t>
      </w:r>
      <w:r>
        <w:rPr>
          <w:rFonts w:ascii="Arial" w:hAnsi="Arial"/>
          <w:color w:val="333333"/>
          <w:sz w:val="21"/>
        </w:rPr>
        <w:t>The ad_login_test function in boss_admin/dbutil.py establishes an LDAP connection over port 389 with the server domain 'ktktest.com'.</w:t>
      </w:r>
    </w:p>
    <w:p>
      <w:pPr>
        <w:pStyle w:val="ListBullet"/>
        <w:spacing w:after="60" w:line="276" w:lineRule="auto"/>
      </w:pPr>
      <w:r>
        <w:rPr>
          <w:rFonts w:ascii="Arial" w:hAnsi="Arial"/>
          <w:b/>
          <w:color w:val="333333"/>
          <w:sz w:val="21"/>
        </w:rPr>
        <w:t xml:space="preserve">Authentication: </w:t>
      </w:r>
      <w:r>
        <w:rPr>
          <w:rFonts w:ascii="Arial" w:hAnsi="Arial"/>
          <w:color w:val="333333"/>
          <w:sz w:val="21"/>
        </w:rPr>
        <w:t>The system binds with the user username format '{domain_id}@ktktest.com' and the supplied password.</w:t>
      </w:r>
    </w:p>
    <w:p>
      <w:pPr>
        <w:pStyle w:val="ListBullet"/>
        <w:spacing w:after="60" w:line="276" w:lineRule="auto"/>
      </w:pPr>
      <w:r>
        <w:rPr>
          <w:rFonts w:ascii="Arial" w:hAnsi="Arial"/>
          <w:b/>
          <w:color w:val="333333"/>
          <w:sz w:val="21"/>
        </w:rPr>
        <w:t xml:space="preserve">Attribute Extraction: </w:t>
      </w:r>
      <w:r>
        <w:rPr>
          <w:rFonts w:ascii="Arial" w:hAnsi="Arial"/>
          <w:color w:val="333333"/>
          <w:sz w:val="21"/>
        </w:rPr>
        <w:t>Upon successful authentication, the system searches DC=ktktest,DC=COM under the SUBTREE scope with the filter samaccountname={domain_id} and retrieves: employeeID, givenname, mail, samaccountname, physicalDeliveryOfficeName, title, and Department.</w:t>
      </w:r>
    </w:p>
    <w:p>
      <w:pPr>
        <w:pStyle w:val="ListBullet"/>
        <w:spacing w:after="60" w:line="276" w:lineRule="auto"/>
      </w:pPr>
      <w:r>
        <w:rPr>
          <w:rFonts w:ascii="Arial" w:hAnsi="Arial"/>
          <w:b/>
          <w:color w:val="333333"/>
          <w:sz w:val="21"/>
        </w:rPr>
        <w:t xml:space="preserve">Concurrent Logins: </w:t>
      </w:r>
      <w:r>
        <w:rPr>
          <w:rFonts w:ascii="Arial" w:hAnsi="Arial"/>
          <w:color w:val="333333"/>
          <w:sz w:val="21"/>
        </w:rPr>
        <w:t>The con_current_login function tracks active session keys. If a user logs in from a new IP or device, any older active session matching their emp_id in log_data is terminated, and the previous session key is deleted from session_data.</w:t>
      </w:r>
    </w:p>
    <w:p>
      <w:pPr>
        <w:pStyle w:val="Heading2"/>
        <w:keepNext/>
        <w:spacing w:before="280" w:after="80"/>
      </w:pPr>
      <w:r>
        <w:rPr>
          <w:rFonts w:ascii="Arial" w:hAnsi="Arial"/>
          <w:b/>
          <w:color w:val="708090"/>
          <w:sz w:val="28"/>
        </w:rPr>
        <w:t>2.4 Document Management and PDF Output Pipeline</w:t>
      </w:r>
    </w:p>
    <w:p>
      <w:pPr>
        <w:pStyle w:val="ListBullet"/>
        <w:spacing w:after="60" w:line="276" w:lineRule="auto"/>
      </w:pPr>
      <w:r>
        <w:rPr>
          <w:rFonts w:ascii="Arial" w:hAnsi="Arial"/>
          <w:b/>
          <w:color w:val="333333"/>
          <w:sz w:val="21"/>
        </w:rPr>
        <w:t xml:space="preserve">Document Uploads: </w:t>
      </w:r>
      <w:r>
        <w:rPr>
          <w:rFonts w:ascii="Arial" w:hAnsi="Arial"/>
          <w:color w:val="333333"/>
          <w:sz w:val="21"/>
        </w:rPr>
        <w:t>Uploaded documents (such as loan approval letters and audit notes) are tracked using DocumentTable. The binary data is stored directly in base64/text format within the database.</w:t>
      </w:r>
    </w:p>
    <w:p>
      <w:pPr>
        <w:pStyle w:val="ListBullet"/>
        <w:spacing w:after="60" w:line="276" w:lineRule="auto"/>
      </w:pPr>
      <w:r>
        <w:rPr>
          <w:rFonts w:ascii="Arial" w:hAnsi="Arial"/>
          <w:b/>
          <w:color w:val="333333"/>
          <w:sz w:val="21"/>
        </w:rPr>
        <w:t xml:space="preserve">PDF Generation: </w:t>
      </w:r>
      <w:r>
        <w:rPr>
          <w:rFonts w:ascii="Arial" w:hAnsi="Arial"/>
          <w:color w:val="333333"/>
          <w:sz w:val="21"/>
        </w:rPr>
        <w:t>The pdf_exports.py module builds dynamic, printable PDFs of PSC reviews, SAC reviews, and MOM logs using ReportLab. It formats report covers, tables, signature sections, page numbers, and embeds PNG/JPG digital signatures from the EmployeeMaster table.</w:t>
      </w:r>
    </w:p>
    <w:p>
      <w:pPr>
        <w:pStyle w:val="ListBullet"/>
        <w:spacing w:after="60" w:line="276" w:lineRule="auto"/>
      </w:pPr>
      <w:r>
        <w:rPr>
          <w:rFonts w:ascii="Arial" w:hAnsi="Arial"/>
          <w:b/>
          <w:color w:val="333333"/>
          <w:sz w:val="21"/>
        </w:rPr>
        <w:t xml:space="preserve">Excel Processing: </w:t>
      </w:r>
      <w:r>
        <w:rPr>
          <w:rFonts w:ascii="Arial" w:hAnsi="Arial"/>
          <w:color w:val="333333"/>
          <w:sz w:val="21"/>
        </w:rPr>
        <w:t>Uses openpyxl and tablib to parse and validate spreadsheet uploads when administrators import bulk employee or branch registries, tracking parsing issues to Excel files.</w:t>
      </w:r>
    </w:p>
    <w:p>
      <w:r>
        <w:br w:type="page"/>
      </w:r>
    </w:p>
    <w:p>
      <w:pPr>
        <w:pStyle w:val="Heading1"/>
        <w:keepNext/>
        <w:spacing w:before="360" w:after="120"/>
      </w:pPr>
      <w:r>
        <w:rPr>
          <w:rFonts w:ascii="Arial" w:hAnsi="Arial"/>
          <w:b/>
          <w:color w:val="003366"/>
          <w:sz w:val="36"/>
        </w:rPr>
        <w:t>3. Directory Structure &amp; Key Code Files</w:t>
      </w:r>
    </w:p>
    <w:p>
      <w:pPr>
        <w:spacing w:after="120" w:line="276" w:lineRule="auto"/>
      </w:pPr>
      <w:r>
        <w:rPr>
          <w:rFonts w:ascii="Arial" w:hAnsi="Arial"/>
          <w:color w:val="333333"/>
          <w:sz w:val="21"/>
        </w:rPr>
        <w:t>Below is an architectural summary mapping key folders and files in the repository to their development roles:</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Pr>
          <w:p>
            <w:r>
              <w:rPr>
                <w:rFonts w:ascii="Arial" w:hAnsi="Arial"/>
                <w:b/>
                <w:sz w:val="19"/>
              </w:rPr>
              <w:t>Directory / File Path</w:t>
            </w:r>
          </w:p>
        </w:tc>
        <w:tc>
          <w:tcPr>
            <w:tcW w:type="dxa" w:w="3120"/>
            <w:tcMar>
              <w:top w:w="100" w:type="dxa"/>
              <w:bottom w:w="100" w:type="dxa"/>
              <w:left w:w="150" w:type="dxa"/>
              <w:right w:w="150" w:type="dxa"/>
            </w:tcMar>
          </w:tcPr>
          <w:p>
            <w:r>
              <w:rPr>
                <w:rFonts w:ascii="Arial" w:hAnsi="Arial"/>
                <w:b/>
                <w:sz w:val="19"/>
              </w:rPr>
              <w:t>Role / Component Description</w:t>
            </w:r>
          </w:p>
        </w:tc>
        <w:tc>
          <w:tcPr>
            <w:tcW w:type="dxa" w:w="3120"/>
            <w:tcMar>
              <w:top w:w="100" w:type="dxa"/>
              <w:bottom w:w="100" w:type="dxa"/>
              <w:left w:w="150" w:type="dxa"/>
              <w:right w:w="150" w:type="dxa"/>
            </w:tcMar>
          </w:tcPr>
          <w:p>
            <w:r>
              <w:rPr>
                <w:rFonts w:ascii="Arial" w:hAnsi="Arial"/>
                <w:b/>
                <w:sz w:val="19"/>
              </w:rPr>
              <w:t>Key Modules / Files Included</w:t>
            </w:r>
          </w:p>
        </w:tc>
      </w:tr>
      <w:tr>
        <w:tc>
          <w:tcPr>
            <w:tcW w:type="dxa" w:w="3120"/>
            <w:tcMar>
              <w:top w:w="100" w:type="dxa"/>
              <w:bottom w:w="100" w:type="dxa"/>
              <w:left w:w="150" w:type="dxa"/>
              <w:right w:w="150" w:type="dxa"/>
            </w:tcMar>
          </w:tcPr>
          <w:p>
            <w:r>
              <w:rPr>
                <w:rFonts w:ascii="Arial" w:hAnsi="Arial"/>
                <w:sz w:val="19"/>
              </w:rPr>
              <w:t>boss_v1/</w:t>
            </w:r>
          </w:p>
        </w:tc>
        <w:tc>
          <w:tcPr>
            <w:tcW w:type="dxa" w:w="3120"/>
            <w:tcMar>
              <w:top w:w="100" w:type="dxa"/>
              <w:bottom w:w="100" w:type="dxa"/>
              <w:left w:w="150" w:type="dxa"/>
              <w:right w:w="150" w:type="dxa"/>
            </w:tcMar>
          </w:tcPr>
          <w:p>
            <w:r>
              <w:rPr>
                <w:rFonts w:ascii="Arial" w:hAnsi="Arial"/>
                <w:sz w:val="19"/>
              </w:rPr>
              <w:t>Django configuration root. Manages global URL routers, wsgi hooks, and environment configurations.</w:t>
            </w:r>
          </w:p>
        </w:tc>
        <w:tc>
          <w:tcPr>
            <w:tcW w:type="dxa" w:w="3120"/>
            <w:tcMar>
              <w:top w:w="100" w:type="dxa"/>
              <w:bottom w:w="100" w:type="dxa"/>
              <w:left w:w="150" w:type="dxa"/>
              <w:right w:w="150" w:type="dxa"/>
            </w:tcMar>
          </w:tcPr>
          <w:p>
            <w:r>
              <w:rPr>
                <w:rFonts w:ascii="Arial" w:hAnsi="Arial"/>
                <w:sz w:val="19"/>
              </w:rPr>
              <w:t>urls.py, wsgi.py, asgi.py</w:t>
            </w:r>
          </w:p>
        </w:tc>
      </w:tr>
      <w:tr>
        <w:tc>
          <w:tcPr>
            <w:tcW w:type="dxa" w:w="3120"/>
            <w:tcMar>
              <w:top w:w="100" w:type="dxa"/>
              <w:bottom w:w="100" w:type="dxa"/>
              <w:left w:w="150" w:type="dxa"/>
              <w:right w:w="150" w:type="dxa"/>
            </w:tcMar>
          </w:tcPr>
          <w:p>
            <w:r>
              <w:rPr>
                <w:rFonts w:ascii="Arial" w:hAnsi="Arial"/>
                <w:sz w:val="19"/>
              </w:rPr>
              <w:t>boss_v1/settings/</w:t>
            </w:r>
          </w:p>
        </w:tc>
        <w:tc>
          <w:tcPr>
            <w:tcW w:type="dxa" w:w="3120"/>
            <w:tcMar>
              <w:top w:w="100" w:type="dxa"/>
              <w:bottom w:w="100" w:type="dxa"/>
              <w:left w:w="150" w:type="dxa"/>
              <w:right w:w="150" w:type="dxa"/>
            </w:tcMar>
          </w:tcPr>
          <w:p>
            <w:r>
              <w:rPr>
                <w:rFonts w:ascii="Arial" w:hAnsi="Arial"/>
                <w:sz w:val="19"/>
              </w:rPr>
              <w:t>Environment-specific settings split to isolate local dev databases from production credentials.</w:t>
            </w:r>
          </w:p>
        </w:tc>
        <w:tc>
          <w:tcPr>
            <w:tcW w:type="dxa" w:w="3120"/>
            <w:tcMar>
              <w:top w:w="100" w:type="dxa"/>
              <w:bottom w:w="100" w:type="dxa"/>
              <w:left w:w="150" w:type="dxa"/>
              <w:right w:w="150" w:type="dxa"/>
            </w:tcMar>
          </w:tcPr>
          <w:p>
            <w:r>
              <w:rPr>
                <w:rFonts w:ascii="Arial" w:hAnsi="Arial"/>
                <w:sz w:val="19"/>
              </w:rPr>
              <w:t>base.py, dev.py, prod.py</w:t>
            </w:r>
          </w:p>
        </w:tc>
      </w:tr>
      <w:tr>
        <w:tc>
          <w:tcPr>
            <w:tcW w:type="dxa" w:w="3120"/>
            <w:tcMar>
              <w:top w:w="100" w:type="dxa"/>
              <w:bottom w:w="100" w:type="dxa"/>
              <w:left w:w="150" w:type="dxa"/>
              <w:right w:w="150" w:type="dxa"/>
            </w:tcMar>
          </w:tcPr>
          <w:p>
            <w:r>
              <w:rPr>
                <w:rFonts w:ascii="Arial" w:hAnsi="Arial"/>
                <w:sz w:val="19"/>
              </w:rPr>
              <w:t>boss_admin/</w:t>
            </w:r>
          </w:p>
        </w:tc>
        <w:tc>
          <w:tcPr>
            <w:tcW w:type="dxa" w:w="3120"/>
            <w:tcMar>
              <w:top w:w="100" w:type="dxa"/>
              <w:bottom w:w="100" w:type="dxa"/>
              <w:left w:w="150" w:type="dxa"/>
              <w:right w:w="150" w:type="dxa"/>
            </w:tcMar>
          </w:tcPr>
          <w:p>
            <w:r>
              <w:rPr>
                <w:rFonts w:ascii="Arial" w:hAnsi="Arial"/>
                <w:sz w:val="19"/>
              </w:rPr>
              <w:t>Handles core registries (employees, branches, active directories, permissions, and session audits).</w:t>
            </w:r>
          </w:p>
        </w:tc>
        <w:tc>
          <w:tcPr>
            <w:tcW w:type="dxa" w:w="3120"/>
            <w:tcMar>
              <w:top w:w="100" w:type="dxa"/>
              <w:bottom w:w="100" w:type="dxa"/>
              <w:left w:w="150" w:type="dxa"/>
              <w:right w:w="150" w:type="dxa"/>
            </w:tcMar>
          </w:tcPr>
          <w:p>
            <w:r>
              <w:rPr>
                <w:rFonts w:ascii="Arial" w:hAnsi="Arial"/>
                <w:sz w:val="19"/>
              </w:rPr>
              <w:t>models.py, dbutil.py, log_utils.py</w:t>
            </w:r>
          </w:p>
        </w:tc>
      </w:tr>
      <w:tr>
        <w:tc>
          <w:tcPr>
            <w:tcW w:type="dxa" w:w="3120"/>
            <w:tcMar>
              <w:top w:w="100" w:type="dxa"/>
              <w:bottom w:w="100" w:type="dxa"/>
              <w:left w:w="150" w:type="dxa"/>
              <w:right w:w="150" w:type="dxa"/>
            </w:tcMar>
          </w:tcPr>
          <w:p>
            <w:r>
              <w:rPr>
                <w:rFonts w:ascii="Arial" w:hAnsi="Arial"/>
                <w:sz w:val="19"/>
              </w:rPr>
              <w:t>boss_admin/views/</w:t>
            </w:r>
          </w:p>
        </w:tc>
        <w:tc>
          <w:tcPr>
            <w:tcW w:type="dxa" w:w="3120"/>
            <w:tcMar>
              <w:top w:w="100" w:type="dxa"/>
              <w:bottom w:w="100" w:type="dxa"/>
              <w:left w:w="150" w:type="dxa"/>
              <w:right w:w="150" w:type="dxa"/>
            </w:tcMar>
          </w:tcPr>
          <w:p>
            <w:r>
              <w:rPr>
                <w:rFonts w:ascii="Arial" w:hAnsi="Arial"/>
                <w:sz w:val="19"/>
              </w:rPr>
              <w:t>Controllers managing login/logout, designation matrix configs, and roster actions.</w:t>
            </w:r>
          </w:p>
        </w:tc>
        <w:tc>
          <w:tcPr>
            <w:tcW w:type="dxa" w:w="3120"/>
            <w:tcMar>
              <w:top w:w="100" w:type="dxa"/>
              <w:bottom w:w="100" w:type="dxa"/>
              <w:left w:w="150" w:type="dxa"/>
              <w:right w:w="150" w:type="dxa"/>
            </w:tcMar>
          </w:tcPr>
          <w:p>
            <w:r>
              <w:rPr>
                <w:rFonts w:ascii="Arial" w:hAnsi="Arial"/>
                <w:sz w:val="19"/>
              </w:rPr>
              <w:t>kbl_auth.py, roles_manage.py, main.py</w:t>
            </w:r>
          </w:p>
        </w:tc>
      </w:tr>
      <w:tr>
        <w:tc>
          <w:tcPr>
            <w:tcW w:type="dxa" w:w="3120"/>
            <w:tcMar>
              <w:top w:w="100" w:type="dxa"/>
              <w:bottom w:w="100" w:type="dxa"/>
              <w:left w:w="150" w:type="dxa"/>
              <w:right w:w="150" w:type="dxa"/>
            </w:tcMar>
          </w:tcPr>
          <w:p>
            <w:r>
              <w:rPr>
                <w:rFonts w:ascii="Arial" w:hAnsi="Arial"/>
                <w:sz w:val="19"/>
              </w:rPr>
              <w:t>preliminaryscreeningcommittee_review/</w:t>
            </w:r>
          </w:p>
        </w:tc>
        <w:tc>
          <w:tcPr>
            <w:tcW w:type="dxa" w:w="3120"/>
            <w:tcMar>
              <w:top w:w="100" w:type="dxa"/>
              <w:bottom w:w="100" w:type="dxa"/>
              <w:left w:w="150" w:type="dxa"/>
              <w:right w:w="150" w:type="dxa"/>
            </w:tcMar>
          </w:tcPr>
          <w:p>
            <w:r>
              <w:rPr>
                <w:rFonts w:ascii="Arial" w:hAnsi="Arial"/>
                <w:sz w:val="19"/>
              </w:rPr>
              <w:t>Core operational workflows (case reviews, staff accountability logs, and meeting minutes).</w:t>
            </w:r>
          </w:p>
        </w:tc>
        <w:tc>
          <w:tcPr>
            <w:tcW w:type="dxa" w:w="3120"/>
            <w:tcMar>
              <w:top w:w="100" w:type="dxa"/>
              <w:bottom w:w="100" w:type="dxa"/>
              <w:left w:w="150" w:type="dxa"/>
              <w:right w:w="150" w:type="dxa"/>
            </w:tcMar>
          </w:tcPr>
          <w:p>
            <w:r>
              <w:rPr>
                <w:rFonts w:ascii="Arial" w:hAnsi="Arial"/>
                <w:sz w:val="19"/>
              </w:rPr>
              <w:t>models.py, urls.py</w:t>
            </w:r>
          </w:p>
        </w:tc>
      </w:tr>
      <w:tr>
        <w:tc>
          <w:tcPr>
            <w:tcW w:type="dxa" w:w="3120"/>
            <w:tcMar>
              <w:top w:w="100" w:type="dxa"/>
              <w:bottom w:w="100" w:type="dxa"/>
              <w:left w:w="150" w:type="dxa"/>
              <w:right w:w="150" w:type="dxa"/>
            </w:tcMar>
          </w:tcPr>
          <w:p>
            <w:r>
              <w:rPr>
                <w:rFonts w:ascii="Arial" w:hAnsi="Arial"/>
                <w:sz w:val="19"/>
              </w:rPr>
              <w:t>preliminaryscreeningcommittee_review/views/</w:t>
            </w:r>
          </w:p>
        </w:tc>
        <w:tc>
          <w:tcPr>
            <w:tcW w:type="dxa" w:w="3120"/>
            <w:tcMar>
              <w:top w:w="100" w:type="dxa"/>
              <w:bottom w:w="100" w:type="dxa"/>
              <w:left w:w="150" w:type="dxa"/>
              <w:right w:w="150" w:type="dxa"/>
            </w:tcMar>
          </w:tcPr>
          <w:p>
            <w:r>
              <w:rPr>
                <w:rFonts w:ascii="Arial" w:hAnsi="Arial"/>
                <w:sz w:val="19"/>
              </w:rPr>
              <w:t>Implements Maker/Checker updates, MOM date overlapping checks, and ReportLab PDF layout exports.</w:t>
            </w:r>
          </w:p>
        </w:tc>
        <w:tc>
          <w:tcPr>
            <w:tcW w:type="dxa" w:w="3120"/>
            <w:tcMar>
              <w:top w:w="100" w:type="dxa"/>
              <w:bottom w:w="100" w:type="dxa"/>
              <w:left w:w="150" w:type="dxa"/>
              <w:right w:w="150" w:type="dxa"/>
            </w:tcMar>
          </w:tcPr>
          <w:p>
            <w:r>
              <w:rPr>
                <w:rFonts w:ascii="Arial" w:hAnsi="Arial"/>
                <w:sz w:val="19"/>
              </w:rPr>
              <w:t>psc_views.py, sac_views.py, pdf_exports.py</w:t>
            </w:r>
          </w:p>
        </w:tc>
      </w:tr>
      <w:tr>
        <w:tc>
          <w:tcPr>
            <w:tcW w:type="dxa" w:w="3120"/>
            <w:tcMar>
              <w:top w:w="100" w:type="dxa"/>
              <w:bottom w:w="100" w:type="dxa"/>
              <w:left w:w="150" w:type="dxa"/>
              <w:right w:w="150" w:type="dxa"/>
            </w:tcMar>
          </w:tcPr>
          <w:p>
            <w:r>
              <w:rPr>
                <w:rFonts w:ascii="Arial" w:hAnsi="Arial"/>
                <w:sz w:val="19"/>
              </w:rPr>
              <w:t>notifications_app/</w:t>
            </w:r>
          </w:p>
        </w:tc>
        <w:tc>
          <w:tcPr>
            <w:tcW w:type="dxa" w:w="3120"/>
            <w:tcMar>
              <w:top w:w="100" w:type="dxa"/>
              <w:bottom w:w="100" w:type="dxa"/>
              <w:left w:w="150" w:type="dxa"/>
              <w:right w:w="150" w:type="dxa"/>
            </w:tcMar>
          </w:tcPr>
          <w:p>
            <w:r>
              <w:rPr>
                <w:rFonts w:ascii="Arial" w:hAnsi="Arial"/>
                <w:sz w:val="19"/>
              </w:rPr>
              <w:t>Utility system sending context-driven status update notices to committee members.</w:t>
            </w:r>
          </w:p>
        </w:tc>
        <w:tc>
          <w:tcPr>
            <w:tcW w:type="dxa" w:w="3120"/>
            <w:tcMar>
              <w:top w:w="100" w:type="dxa"/>
              <w:bottom w:w="100" w:type="dxa"/>
              <w:left w:w="150" w:type="dxa"/>
              <w:right w:w="150" w:type="dxa"/>
            </w:tcMar>
          </w:tcPr>
          <w:p>
            <w:r>
              <w:rPr>
                <w:rFonts w:ascii="Arial" w:hAnsi="Arial"/>
                <w:sz w:val="19"/>
              </w:rPr>
              <w:t>models.py, context_processors.py, views.py</w:t>
            </w:r>
          </w:p>
        </w:tc>
      </w:tr>
      <w:tr>
        <w:tc>
          <w:tcPr>
            <w:tcW w:type="dxa" w:w="3120"/>
            <w:tcMar>
              <w:top w:w="100" w:type="dxa"/>
              <w:bottom w:w="100" w:type="dxa"/>
              <w:left w:w="150" w:type="dxa"/>
              <w:right w:w="150" w:type="dxa"/>
            </w:tcMar>
          </w:tcPr>
          <w:p>
            <w:r>
              <w:rPr>
                <w:rFonts w:ascii="Arial" w:hAnsi="Arial"/>
                <w:sz w:val="19"/>
              </w:rPr>
              <w:t>CustomLog/ &amp; Logs/</w:t>
            </w:r>
          </w:p>
        </w:tc>
        <w:tc>
          <w:tcPr>
            <w:tcW w:type="dxa" w:w="3120"/>
            <w:tcMar>
              <w:top w:w="100" w:type="dxa"/>
              <w:bottom w:w="100" w:type="dxa"/>
              <w:left w:w="150" w:type="dxa"/>
              <w:right w:w="150" w:type="dxa"/>
            </w:tcMar>
          </w:tcPr>
          <w:p>
            <w:r>
              <w:rPr>
                <w:rFonts w:ascii="Arial" w:hAnsi="Arial"/>
                <w:sz w:val="19"/>
              </w:rPr>
              <w:t>Log directories separating verbose Django framework logs from specific committee audit logs (psc.log).</w:t>
            </w:r>
          </w:p>
        </w:tc>
        <w:tc>
          <w:tcPr>
            <w:tcW w:type="dxa" w:w="3120"/>
            <w:tcMar>
              <w:top w:w="100" w:type="dxa"/>
              <w:bottom w:w="100" w:type="dxa"/>
              <w:left w:w="150" w:type="dxa"/>
              <w:right w:w="150" w:type="dxa"/>
            </w:tcMar>
          </w:tcPr>
          <w:p>
            <w:r>
              <w:rPr>
                <w:rFonts w:ascii="Arial" w:hAnsi="Arial"/>
                <w:sz w:val="19"/>
              </w:rPr>
              <w:t>psc.log, registers.log</w:t>
            </w:r>
          </w:p>
        </w:tc>
      </w:tr>
    </w:tbl>
    <w:p>
      <w:r>
        <w:br w:type="page"/>
      </w:r>
    </w:p>
    <w:p>
      <w:pPr>
        <w:pStyle w:val="Heading1"/>
        <w:keepNext/>
        <w:spacing w:before="360" w:after="120"/>
      </w:pPr>
      <w:r>
        <w:rPr>
          <w:rFonts w:ascii="Arial" w:hAnsi="Arial"/>
          <w:b/>
          <w:color w:val="003366"/>
          <w:sz w:val="36"/>
        </w:rPr>
        <w:t>4. Database Schema &amp; Data Models</w:t>
      </w:r>
    </w:p>
    <w:p>
      <w:pPr>
        <w:spacing w:after="120" w:line="276" w:lineRule="auto"/>
      </w:pPr>
      <w:r>
        <w:rPr>
          <w:rFonts w:ascii="Arial" w:hAnsi="Arial"/>
          <w:color w:val="333333"/>
          <w:sz w:val="21"/>
        </w:rPr>
        <w:t>The application's models are split into master tables (boss_admin) and transaction-focused tables (screening committee).</w:t>
      </w:r>
    </w:p>
    <w:p>
      <w:pPr>
        <w:pStyle w:val="Heading2"/>
        <w:keepNext/>
        <w:spacing w:before="280" w:after="80"/>
      </w:pPr>
      <w:r>
        <w:rPr>
          <w:rFonts w:ascii="Arial" w:hAnsi="Arial"/>
          <w:b/>
          <w:color w:val="708090"/>
          <w:sz w:val="28"/>
        </w:rPr>
        <w:t>4.1 Master Models (boss_admin/models.py)</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Pr>
          <w:p>
            <w:r>
              <w:rPr>
                <w:rFonts w:ascii="Arial" w:hAnsi="Arial"/>
                <w:b/>
                <w:sz w:val="19"/>
              </w:rPr>
              <w:t>Model Name</w:t>
            </w:r>
          </w:p>
        </w:tc>
        <w:tc>
          <w:tcPr>
            <w:tcW w:type="dxa" w:w="3120"/>
            <w:tcMar>
              <w:top w:w="100" w:type="dxa"/>
              <w:bottom w:w="100" w:type="dxa"/>
              <w:left w:w="150" w:type="dxa"/>
              <w:right w:w="150" w:type="dxa"/>
            </w:tcMar>
          </w:tcPr>
          <w:p>
            <w:r>
              <w:rPr>
                <w:rFonts w:ascii="Arial" w:hAnsi="Arial"/>
                <w:b/>
                <w:sz w:val="19"/>
              </w:rPr>
              <w:t>DB Table Name</w:t>
            </w:r>
          </w:p>
        </w:tc>
        <w:tc>
          <w:tcPr>
            <w:tcW w:type="dxa" w:w="3120"/>
            <w:tcMar>
              <w:top w:w="100" w:type="dxa"/>
              <w:bottom w:w="100" w:type="dxa"/>
              <w:left w:w="150" w:type="dxa"/>
              <w:right w:w="150" w:type="dxa"/>
            </w:tcMar>
          </w:tcPr>
          <w:p>
            <w:r>
              <w:rPr>
                <w:rFonts w:ascii="Arial" w:hAnsi="Arial"/>
                <w:b/>
                <w:sz w:val="19"/>
              </w:rPr>
              <w:t>Description &amp; Key Fields</w:t>
            </w:r>
          </w:p>
        </w:tc>
      </w:tr>
      <w:tr>
        <w:tc>
          <w:tcPr>
            <w:tcW w:type="dxa" w:w="3120"/>
            <w:tcMar>
              <w:top w:w="100" w:type="dxa"/>
              <w:bottom w:w="100" w:type="dxa"/>
              <w:left w:w="150" w:type="dxa"/>
              <w:right w:w="150" w:type="dxa"/>
            </w:tcMar>
          </w:tcPr>
          <w:p>
            <w:r>
              <w:rPr>
                <w:rFonts w:ascii="Arial" w:hAnsi="Arial"/>
                <w:sz w:val="19"/>
              </w:rPr>
              <w:t>BranchMaster</w:t>
            </w:r>
          </w:p>
        </w:tc>
        <w:tc>
          <w:tcPr>
            <w:tcW w:type="dxa" w:w="3120"/>
            <w:tcMar>
              <w:top w:w="100" w:type="dxa"/>
              <w:bottom w:w="100" w:type="dxa"/>
              <w:left w:w="150" w:type="dxa"/>
              <w:right w:w="150" w:type="dxa"/>
            </w:tcMar>
          </w:tcPr>
          <w:p>
            <w:r>
              <w:rPr>
                <w:rFonts w:ascii="Arial" w:hAnsi="Arial"/>
                <w:sz w:val="19"/>
              </w:rPr>
              <w:t>branch_master</w:t>
            </w:r>
          </w:p>
        </w:tc>
        <w:tc>
          <w:tcPr>
            <w:tcW w:type="dxa" w:w="3120"/>
            <w:tcMar>
              <w:top w:w="100" w:type="dxa"/>
              <w:bottom w:w="100" w:type="dxa"/>
              <w:left w:w="150" w:type="dxa"/>
              <w:right w:w="150" w:type="dxa"/>
            </w:tcMar>
          </w:tcPr>
          <w:p>
            <w:r>
              <w:rPr>
                <w:rFonts w:ascii="Arial" w:hAnsi="Arial"/>
                <w:sz w:val="19"/>
              </w:rPr>
              <w:t>Details all branches. Fields: branch_code (Unique, PK), branch_name, zone, state, retention_limit.</w:t>
            </w:r>
          </w:p>
        </w:tc>
      </w:tr>
      <w:tr>
        <w:tc>
          <w:tcPr>
            <w:tcW w:type="dxa" w:w="3120"/>
            <w:tcMar>
              <w:top w:w="100" w:type="dxa"/>
              <w:bottom w:w="100" w:type="dxa"/>
              <w:left w:w="150" w:type="dxa"/>
              <w:right w:w="150" w:type="dxa"/>
            </w:tcMar>
          </w:tcPr>
          <w:p>
            <w:r>
              <w:rPr>
                <w:rFonts w:ascii="Arial" w:hAnsi="Arial"/>
                <w:sz w:val="19"/>
              </w:rPr>
              <w:t>EmployeeMaster</w:t>
            </w:r>
          </w:p>
        </w:tc>
        <w:tc>
          <w:tcPr>
            <w:tcW w:type="dxa" w:w="3120"/>
            <w:tcMar>
              <w:top w:w="100" w:type="dxa"/>
              <w:bottom w:w="100" w:type="dxa"/>
              <w:left w:w="150" w:type="dxa"/>
              <w:right w:w="150" w:type="dxa"/>
            </w:tcMar>
          </w:tcPr>
          <w:p>
            <w:r>
              <w:rPr>
                <w:rFonts w:ascii="Arial" w:hAnsi="Arial"/>
                <w:sz w:val="19"/>
              </w:rPr>
              <w:t>employee_master</w:t>
            </w:r>
          </w:p>
        </w:tc>
        <w:tc>
          <w:tcPr>
            <w:tcW w:type="dxa" w:w="3120"/>
            <w:tcMar>
              <w:top w:w="100" w:type="dxa"/>
              <w:bottom w:w="100" w:type="dxa"/>
              <w:left w:w="150" w:type="dxa"/>
              <w:right w:w="150" w:type="dxa"/>
            </w:tcMar>
          </w:tcPr>
          <w:p>
            <w:r>
              <w:rPr>
                <w:rFonts w:ascii="Arial" w:hAnsi="Arial"/>
                <w:sz w:val="19"/>
              </w:rPr>
              <w:t>Stores employee accounts. Fields: emp_id (Unique PK), domain_id, emp_name, pwd (hash), designation, active, signature (FileField).</w:t>
            </w:r>
          </w:p>
        </w:tc>
      </w:tr>
      <w:tr>
        <w:tc>
          <w:tcPr>
            <w:tcW w:type="dxa" w:w="3120"/>
            <w:tcMar>
              <w:top w:w="100" w:type="dxa"/>
              <w:bottom w:w="100" w:type="dxa"/>
              <w:left w:w="150" w:type="dxa"/>
              <w:right w:w="150" w:type="dxa"/>
            </w:tcMar>
          </w:tcPr>
          <w:p>
            <w:r>
              <w:rPr>
                <w:rFonts w:ascii="Arial" w:hAnsi="Arial"/>
                <w:sz w:val="19"/>
              </w:rPr>
              <w:t>RegistersMaster</w:t>
            </w:r>
          </w:p>
        </w:tc>
        <w:tc>
          <w:tcPr>
            <w:tcW w:type="dxa" w:w="3120"/>
            <w:tcMar>
              <w:top w:w="100" w:type="dxa"/>
              <w:bottom w:w="100" w:type="dxa"/>
              <w:left w:w="150" w:type="dxa"/>
              <w:right w:w="150" w:type="dxa"/>
            </w:tcMar>
          </w:tcPr>
          <w:p>
            <w:r>
              <w:rPr>
                <w:rFonts w:ascii="Arial" w:hAnsi="Arial"/>
                <w:sz w:val="19"/>
              </w:rPr>
              <w:t>registers_master</w:t>
            </w:r>
          </w:p>
        </w:tc>
        <w:tc>
          <w:tcPr>
            <w:tcW w:type="dxa" w:w="3120"/>
            <w:tcMar>
              <w:top w:w="100" w:type="dxa"/>
              <w:bottom w:w="100" w:type="dxa"/>
              <w:left w:w="150" w:type="dxa"/>
              <w:right w:w="150" w:type="dxa"/>
            </w:tcMar>
          </w:tcPr>
          <w:p>
            <w:r>
              <w:rPr>
                <w:rFonts w:ascii="Arial" w:hAnsi="Arial"/>
                <w:sz w:val="19"/>
              </w:rPr>
              <w:t>Catalog of system sections. Fields: registers_code (Unique PK), registers_type, registers_desc, is_active.</w:t>
            </w:r>
          </w:p>
        </w:tc>
      </w:tr>
      <w:tr>
        <w:tc>
          <w:tcPr>
            <w:tcW w:type="dxa" w:w="3120"/>
            <w:tcMar>
              <w:top w:w="100" w:type="dxa"/>
              <w:bottom w:w="100" w:type="dxa"/>
              <w:left w:w="150" w:type="dxa"/>
              <w:right w:w="150" w:type="dxa"/>
            </w:tcMar>
          </w:tcPr>
          <w:p>
            <w:r>
              <w:rPr>
                <w:rFonts w:ascii="Arial" w:hAnsi="Arial"/>
                <w:sz w:val="19"/>
              </w:rPr>
              <w:t>RegistersRoleMaster</w:t>
            </w:r>
          </w:p>
        </w:tc>
        <w:tc>
          <w:tcPr>
            <w:tcW w:type="dxa" w:w="3120"/>
            <w:tcMar>
              <w:top w:w="100" w:type="dxa"/>
              <w:bottom w:w="100" w:type="dxa"/>
              <w:left w:w="150" w:type="dxa"/>
              <w:right w:w="150" w:type="dxa"/>
            </w:tcMar>
          </w:tcPr>
          <w:p>
            <w:r>
              <w:rPr>
                <w:rFonts w:ascii="Arial" w:hAnsi="Arial"/>
                <w:sz w:val="19"/>
              </w:rPr>
              <w:t>registers_role_master</w:t>
            </w:r>
          </w:p>
        </w:tc>
        <w:tc>
          <w:tcPr>
            <w:tcW w:type="dxa" w:w="3120"/>
            <w:tcMar>
              <w:top w:w="100" w:type="dxa"/>
              <w:bottom w:w="100" w:type="dxa"/>
              <w:left w:w="150" w:type="dxa"/>
              <w:right w:w="150" w:type="dxa"/>
            </w:tcMar>
          </w:tcPr>
          <w:p>
            <w:r>
              <w:rPr>
                <w:rFonts w:ascii="Arial" w:hAnsi="Arial"/>
                <w:sz w:val="19"/>
              </w:rPr>
              <w:t>Defines roles within specific registers. Fields: role_id (PK), role_name, role_desc, registers_code (FK).</w:t>
            </w:r>
          </w:p>
        </w:tc>
      </w:tr>
      <w:tr>
        <w:tc>
          <w:tcPr>
            <w:tcW w:type="dxa" w:w="3120"/>
            <w:tcMar>
              <w:top w:w="100" w:type="dxa"/>
              <w:bottom w:w="100" w:type="dxa"/>
              <w:left w:w="150" w:type="dxa"/>
              <w:right w:w="150" w:type="dxa"/>
            </w:tcMar>
          </w:tcPr>
          <w:p>
            <w:r>
              <w:rPr>
                <w:rFonts w:ascii="Arial" w:hAnsi="Arial"/>
                <w:sz w:val="19"/>
              </w:rPr>
              <w:t>EmployeeRegisterRoleMaster</w:t>
            </w:r>
          </w:p>
        </w:tc>
        <w:tc>
          <w:tcPr>
            <w:tcW w:type="dxa" w:w="3120"/>
            <w:tcMar>
              <w:top w:w="100" w:type="dxa"/>
              <w:bottom w:w="100" w:type="dxa"/>
              <w:left w:w="150" w:type="dxa"/>
              <w:right w:w="150" w:type="dxa"/>
            </w:tcMar>
          </w:tcPr>
          <w:p>
            <w:r>
              <w:rPr>
                <w:rFonts w:ascii="Arial" w:hAnsi="Arial"/>
                <w:sz w:val="19"/>
              </w:rPr>
              <w:t>employee_register_role_master</w:t>
            </w:r>
          </w:p>
        </w:tc>
        <w:tc>
          <w:tcPr>
            <w:tcW w:type="dxa" w:w="3120"/>
            <w:tcMar>
              <w:top w:w="100" w:type="dxa"/>
              <w:bottom w:w="100" w:type="dxa"/>
              <w:left w:w="150" w:type="dxa"/>
              <w:right w:w="150" w:type="dxa"/>
            </w:tcMar>
          </w:tcPr>
          <w:p>
            <w:r>
              <w:rPr>
                <w:rFonts w:ascii="Arial" w:hAnsi="Arial"/>
                <w:sz w:val="19"/>
              </w:rPr>
              <w:t>Associates employees to specific register roles and branches. Fields: emp_id (FK), registers_code (FK), role_id (FK), branch_code (FK), is_active.</w:t>
            </w:r>
          </w:p>
        </w:tc>
      </w:tr>
      <w:tr>
        <w:tc>
          <w:tcPr>
            <w:tcW w:type="dxa" w:w="3120"/>
            <w:tcMar>
              <w:top w:w="100" w:type="dxa"/>
              <w:bottom w:w="100" w:type="dxa"/>
              <w:left w:w="150" w:type="dxa"/>
              <w:right w:w="150" w:type="dxa"/>
            </w:tcMar>
          </w:tcPr>
          <w:p>
            <w:r>
              <w:rPr>
                <w:rFonts w:ascii="Arial" w:hAnsi="Arial"/>
                <w:sz w:val="19"/>
              </w:rPr>
              <w:t>AuditorConnectionMaster</w:t>
            </w:r>
          </w:p>
        </w:tc>
        <w:tc>
          <w:tcPr>
            <w:tcW w:type="dxa" w:w="3120"/>
            <w:tcMar>
              <w:top w:w="100" w:type="dxa"/>
              <w:bottom w:w="100" w:type="dxa"/>
              <w:left w:w="150" w:type="dxa"/>
              <w:right w:w="150" w:type="dxa"/>
            </w:tcMar>
          </w:tcPr>
          <w:p>
            <w:r>
              <w:rPr>
                <w:rFonts w:ascii="Arial" w:hAnsi="Arial"/>
                <w:sz w:val="19"/>
              </w:rPr>
              <w:t>auditor_connection_master</w:t>
            </w:r>
          </w:p>
        </w:tc>
        <w:tc>
          <w:tcPr>
            <w:tcW w:type="dxa" w:w="3120"/>
            <w:tcMar>
              <w:top w:w="100" w:type="dxa"/>
              <w:bottom w:w="100" w:type="dxa"/>
              <w:left w:w="150" w:type="dxa"/>
              <w:right w:w="150" w:type="dxa"/>
            </w:tcMar>
          </w:tcPr>
          <w:p>
            <w:r>
              <w:rPr>
                <w:rFonts w:ascii="Arial" w:hAnsi="Arial"/>
                <w:sz w:val="19"/>
              </w:rPr>
              <w:t>Tracks auditor assignments. Fields: emp_id (FK), registers_code (FK), role_id (FK), branch_code (FK), assigner_branch_code (FK), is_active.</w:t>
            </w:r>
          </w:p>
        </w:tc>
      </w:tr>
      <w:tr>
        <w:tc>
          <w:tcPr>
            <w:tcW w:type="dxa" w:w="3120"/>
            <w:tcMar>
              <w:top w:w="100" w:type="dxa"/>
              <w:bottom w:w="100" w:type="dxa"/>
              <w:left w:w="150" w:type="dxa"/>
              <w:right w:w="150" w:type="dxa"/>
            </w:tcMar>
          </w:tcPr>
          <w:p>
            <w:r>
              <w:rPr>
                <w:rFonts w:ascii="Arial" w:hAnsi="Arial"/>
                <w:sz w:val="19"/>
              </w:rPr>
              <w:t>DesignationMatrix</w:t>
            </w:r>
          </w:p>
        </w:tc>
        <w:tc>
          <w:tcPr>
            <w:tcW w:type="dxa" w:w="3120"/>
            <w:tcMar>
              <w:top w:w="100" w:type="dxa"/>
              <w:bottom w:w="100" w:type="dxa"/>
              <w:left w:w="150" w:type="dxa"/>
              <w:right w:w="150" w:type="dxa"/>
            </w:tcMar>
          </w:tcPr>
          <w:p>
            <w:r>
              <w:rPr>
                <w:rFonts w:ascii="Arial" w:hAnsi="Arial"/>
                <w:sz w:val="19"/>
              </w:rPr>
              <w:t>designation_matrix</w:t>
            </w:r>
          </w:p>
        </w:tc>
        <w:tc>
          <w:tcPr>
            <w:tcW w:type="dxa" w:w="3120"/>
            <w:tcMar>
              <w:top w:w="100" w:type="dxa"/>
              <w:bottom w:w="100" w:type="dxa"/>
              <w:left w:w="150" w:type="dxa"/>
              <w:right w:w="150" w:type="dxa"/>
            </w:tcMar>
          </w:tcPr>
          <w:p>
            <w:r>
              <w:rPr>
                <w:rFonts w:ascii="Arial" w:hAnsi="Arial"/>
                <w:sz w:val="19"/>
              </w:rPr>
              <w:t>Maps hierarchical positions to permissions. Fields: role_type, role_name, role_code, designations (JSONField), is_active.</w:t>
            </w:r>
          </w:p>
        </w:tc>
      </w:tr>
    </w:tbl>
    <w:p>
      <w:pPr>
        <w:pStyle w:val="Heading2"/>
        <w:keepNext/>
        <w:spacing w:before="280" w:after="80"/>
      </w:pPr>
      <w:r>
        <w:rPr>
          <w:rFonts w:ascii="Arial" w:hAnsi="Arial"/>
          <w:b/>
          <w:color w:val="708090"/>
          <w:sz w:val="28"/>
        </w:rPr>
        <w:t>4.2 Committee Review Models (preliminaryscreeningcommittee_review/models.py)</w:t>
      </w:r>
    </w:p>
    <w:tbl>
      <w:tblPr>
        <w:tblStyle w:val="LightShading-Accent1"/>
        <w:tblW w:type="auto" w:w="0"/>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tcPr>
          <w:p>
            <w:r>
              <w:rPr>
                <w:rFonts w:ascii="Arial" w:hAnsi="Arial"/>
                <w:b/>
                <w:sz w:val="19"/>
              </w:rPr>
              <w:t>Model Name</w:t>
            </w:r>
          </w:p>
        </w:tc>
        <w:tc>
          <w:tcPr>
            <w:tcW w:type="dxa" w:w="3120"/>
            <w:tcMar>
              <w:top w:w="100" w:type="dxa"/>
              <w:bottom w:w="100" w:type="dxa"/>
              <w:left w:w="150" w:type="dxa"/>
              <w:right w:w="150" w:type="dxa"/>
            </w:tcMar>
          </w:tcPr>
          <w:p>
            <w:r>
              <w:rPr>
                <w:rFonts w:ascii="Arial" w:hAnsi="Arial"/>
                <w:b/>
                <w:sz w:val="19"/>
              </w:rPr>
              <w:t>DB Table Name</w:t>
            </w:r>
          </w:p>
        </w:tc>
        <w:tc>
          <w:tcPr>
            <w:tcW w:type="dxa" w:w="3120"/>
            <w:tcMar>
              <w:top w:w="100" w:type="dxa"/>
              <w:bottom w:w="100" w:type="dxa"/>
              <w:left w:w="150" w:type="dxa"/>
              <w:right w:w="150" w:type="dxa"/>
            </w:tcMar>
          </w:tcPr>
          <w:p>
            <w:r>
              <w:rPr>
                <w:rFonts w:ascii="Arial" w:hAnsi="Arial"/>
                <w:b/>
                <w:sz w:val="19"/>
              </w:rPr>
              <w:t>Description &amp; Key Fields</w:t>
            </w:r>
          </w:p>
        </w:tc>
      </w:tr>
      <w:tr>
        <w:tc>
          <w:tcPr>
            <w:tcW w:type="dxa" w:w="3120"/>
            <w:tcMar>
              <w:top w:w="100" w:type="dxa"/>
              <w:bottom w:w="100" w:type="dxa"/>
              <w:left w:w="150" w:type="dxa"/>
              <w:right w:w="150" w:type="dxa"/>
            </w:tcMar>
          </w:tcPr>
          <w:p>
            <w:r>
              <w:rPr>
                <w:rFonts w:ascii="Arial" w:hAnsi="Arial"/>
                <w:sz w:val="19"/>
              </w:rPr>
              <w:t>MOMTable</w:t>
            </w:r>
          </w:p>
        </w:tc>
        <w:tc>
          <w:tcPr>
            <w:tcW w:type="dxa" w:w="3120"/>
            <w:tcMar>
              <w:top w:w="100" w:type="dxa"/>
              <w:bottom w:w="100" w:type="dxa"/>
              <w:left w:w="150" w:type="dxa"/>
              <w:right w:w="150" w:type="dxa"/>
            </w:tcMar>
          </w:tcPr>
          <w:p>
            <w:r>
              <w:rPr>
                <w:rFonts w:ascii="Arial" w:hAnsi="Arial"/>
                <w:sz w:val="19"/>
              </w:rPr>
              <w:t>mom_table</w:t>
            </w:r>
          </w:p>
        </w:tc>
        <w:tc>
          <w:tcPr>
            <w:tcW w:type="dxa" w:w="3120"/>
            <w:tcMar>
              <w:top w:w="100" w:type="dxa"/>
              <w:bottom w:w="100" w:type="dxa"/>
              <w:left w:w="150" w:type="dxa"/>
              <w:right w:w="150" w:type="dxa"/>
            </w:tcMar>
          </w:tcPr>
          <w:p>
            <w:r>
              <w:rPr>
                <w:rFonts w:ascii="Arial" w:hAnsi="Arial"/>
                <w:sz w:val="19"/>
              </w:rPr>
              <w:t>Minutes of Meetings. Fields: id (PK), meeting_id, mom_creation_date, mom_date, audience (JSONField), active, review_type (psc/sac), mom_users_log (JSONField).</w:t>
            </w:r>
          </w:p>
        </w:tc>
      </w:tr>
      <w:tr>
        <w:tc>
          <w:tcPr>
            <w:tcW w:type="dxa" w:w="3120"/>
            <w:tcMar>
              <w:top w:w="100" w:type="dxa"/>
              <w:bottom w:w="100" w:type="dxa"/>
              <w:left w:w="150" w:type="dxa"/>
              <w:right w:w="150" w:type="dxa"/>
            </w:tcMar>
          </w:tcPr>
          <w:p>
            <w:r>
              <w:rPr>
                <w:rFonts w:ascii="Arial" w:hAnsi="Arial"/>
                <w:sz w:val="19"/>
              </w:rPr>
              <w:t>CustomerTable</w:t>
            </w:r>
          </w:p>
        </w:tc>
        <w:tc>
          <w:tcPr>
            <w:tcW w:type="dxa" w:w="3120"/>
            <w:tcMar>
              <w:top w:w="100" w:type="dxa"/>
              <w:bottom w:w="100" w:type="dxa"/>
              <w:left w:w="150" w:type="dxa"/>
              <w:right w:w="150" w:type="dxa"/>
            </w:tcMar>
          </w:tcPr>
          <w:p>
            <w:r>
              <w:rPr>
                <w:rFonts w:ascii="Arial" w:hAnsi="Arial"/>
                <w:sz w:val="19"/>
              </w:rPr>
              <w:t>customer_table</w:t>
            </w:r>
          </w:p>
        </w:tc>
        <w:tc>
          <w:tcPr>
            <w:tcW w:type="dxa" w:w="3120"/>
            <w:tcMar>
              <w:top w:w="100" w:type="dxa"/>
              <w:bottom w:w="100" w:type="dxa"/>
              <w:left w:w="150" w:type="dxa"/>
              <w:right w:w="150" w:type="dxa"/>
            </w:tcMar>
          </w:tcPr>
          <w:p>
            <w:r>
              <w:rPr>
                <w:rFonts w:ascii="Arial" w:hAnsi="Arial"/>
                <w:sz w:val="19"/>
              </w:rPr>
              <w:t>Stores customer records. Fields: cust_id, borrower_name, total_exposure, acc_count, status, npa_status, sac_details (JSONField), lapses_details (JSONField).</w:t>
            </w:r>
          </w:p>
        </w:tc>
      </w:tr>
      <w:tr>
        <w:tc>
          <w:tcPr>
            <w:tcW w:type="dxa" w:w="3120"/>
            <w:tcMar>
              <w:top w:w="100" w:type="dxa"/>
              <w:bottom w:w="100" w:type="dxa"/>
              <w:left w:w="150" w:type="dxa"/>
              <w:right w:w="150" w:type="dxa"/>
            </w:tcMar>
          </w:tcPr>
          <w:p>
            <w:r>
              <w:rPr>
                <w:rFonts w:ascii="Arial" w:hAnsi="Arial"/>
                <w:sz w:val="19"/>
              </w:rPr>
              <w:t>PSCTable</w:t>
            </w:r>
          </w:p>
        </w:tc>
        <w:tc>
          <w:tcPr>
            <w:tcW w:type="dxa" w:w="3120"/>
            <w:tcMar>
              <w:top w:w="100" w:type="dxa"/>
              <w:bottom w:w="100" w:type="dxa"/>
              <w:left w:w="150" w:type="dxa"/>
              <w:right w:w="150" w:type="dxa"/>
            </w:tcMar>
          </w:tcPr>
          <w:p>
            <w:r>
              <w:rPr>
                <w:rFonts w:ascii="Arial" w:hAnsi="Arial"/>
                <w:sz w:val="19"/>
              </w:rPr>
              <w:t>psc_table</w:t>
            </w:r>
          </w:p>
        </w:tc>
        <w:tc>
          <w:tcPr>
            <w:tcW w:type="dxa" w:w="3120"/>
            <w:tcMar>
              <w:top w:w="100" w:type="dxa"/>
              <w:bottom w:w="100" w:type="dxa"/>
              <w:left w:w="150" w:type="dxa"/>
              <w:right w:w="150" w:type="dxa"/>
            </w:tcMar>
          </w:tcPr>
          <w:p>
            <w:r>
              <w:rPr>
                <w:rFonts w:ascii="Arial" w:hAnsi="Arial"/>
                <w:sz w:val="19"/>
              </w:rPr>
              <w:t>Tracks Preliminary Screening Committee reviews. Fields: cust_id, borrower_name, sanc_limit, npa_date, staff_accountability (JSONField), status, current_role, mom_id (FK), psc_users_log (JSONField).</w:t>
            </w:r>
          </w:p>
        </w:tc>
      </w:tr>
      <w:tr>
        <w:tc>
          <w:tcPr>
            <w:tcW w:type="dxa" w:w="3120"/>
            <w:tcMar>
              <w:top w:w="100" w:type="dxa"/>
              <w:bottom w:w="100" w:type="dxa"/>
              <w:left w:w="150" w:type="dxa"/>
              <w:right w:w="150" w:type="dxa"/>
            </w:tcMar>
          </w:tcPr>
          <w:p>
            <w:r>
              <w:rPr>
                <w:rFonts w:ascii="Arial" w:hAnsi="Arial"/>
                <w:sz w:val="19"/>
              </w:rPr>
              <w:t>CreditFacilityTable</w:t>
            </w:r>
          </w:p>
        </w:tc>
        <w:tc>
          <w:tcPr>
            <w:tcW w:type="dxa" w:w="3120"/>
            <w:tcMar>
              <w:top w:w="100" w:type="dxa"/>
              <w:bottom w:w="100" w:type="dxa"/>
              <w:left w:w="150" w:type="dxa"/>
              <w:right w:w="150" w:type="dxa"/>
            </w:tcMar>
          </w:tcPr>
          <w:p>
            <w:r>
              <w:rPr>
                <w:rFonts w:ascii="Arial" w:hAnsi="Arial"/>
                <w:sz w:val="19"/>
              </w:rPr>
              <w:t>creditfacility_table</w:t>
            </w:r>
          </w:p>
        </w:tc>
        <w:tc>
          <w:tcPr>
            <w:tcW w:type="dxa" w:w="3120"/>
            <w:tcMar>
              <w:top w:w="100" w:type="dxa"/>
              <w:bottom w:w="100" w:type="dxa"/>
              <w:left w:w="150" w:type="dxa"/>
              <w:right w:w="150" w:type="dxa"/>
            </w:tcMar>
          </w:tcPr>
          <w:p>
            <w:r>
              <w:rPr>
                <w:rFonts w:ascii="Arial" w:hAnsi="Arial"/>
                <w:sz w:val="19"/>
              </w:rPr>
              <w:t>Lists loan products of default accounts. Fields: psc_id (FK to CustomerTable), credit_feci_slno, lan (Loan Acc Num), balance, outstanding limit, asset_classification, cf_aod_data (JSONField).</w:t>
            </w:r>
          </w:p>
        </w:tc>
      </w:tr>
      <w:tr>
        <w:tc>
          <w:tcPr>
            <w:tcW w:type="dxa" w:w="3120"/>
            <w:tcMar>
              <w:top w:w="100" w:type="dxa"/>
              <w:bottom w:w="100" w:type="dxa"/>
              <w:left w:w="150" w:type="dxa"/>
              <w:right w:w="150" w:type="dxa"/>
            </w:tcMar>
          </w:tcPr>
          <w:p>
            <w:r>
              <w:rPr>
                <w:rFonts w:ascii="Arial" w:hAnsi="Arial"/>
                <w:sz w:val="19"/>
              </w:rPr>
              <w:t>SecuritiesTable</w:t>
            </w:r>
          </w:p>
        </w:tc>
        <w:tc>
          <w:tcPr>
            <w:tcW w:type="dxa" w:w="3120"/>
            <w:tcMar>
              <w:top w:w="100" w:type="dxa"/>
              <w:bottom w:w="100" w:type="dxa"/>
              <w:left w:w="150" w:type="dxa"/>
              <w:right w:w="150" w:type="dxa"/>
            </w:tcMar>
          </w:tcPr>
          <w:p>
            <w:r>
              <w:rPr>
                <w:rFonts w:ascii="Arial" w:hAnsi="Arial"/>
                <w:sz w:val="19"/>
              </w:rPr>
              <w:t>securities_table</w:t>
            </w:r>
          </w:p>
        </w:tc>
        <w:tc>
          <w:tcPr>
            <w:tcW w:type="dxa" w:w="3120"/>
            <w:tcMar>
              <w:top w:w="100" w:type="dxa"/>
              <w:bottom w:w="100" w:type="dxa"/>
              <w:left w:w="150" w:type="dxa"/>
              <w:right w:w="150" w:type="dxa"/>
            </w:tcMar>
          </w:tcPr>
          <w:p>
            <w:r>
              <w:rPr>
                <w:rFonts w:ascii="Arial" w:hAnsi="Arial"/>
                <w:sz w:val="19"/>
              </w:rPr>
              <w:t>Collateral valuation database. Fields: psc_id (FK to CustomerTable), security_nature, lan, latest_valuation, insurance_value, insurance_valid_upto, cersai_num.</w:t>
            </w:r>
          </w:p>
        </w:tc>
      </w:tr>
      <w:tr>
        <w:tc>
          <w:tcPr>
            <w:tcW w:type="dxa" w:w="3120"/>
            <w:tcMar>
              <w:top w:w="100" w:type="dxa"/>
              <w:bottom w:w="100" w:type="dxa"/>
              <w:left w:w="150" w:type="dxa"/>
              <w:right w:w="150" w:type="dxa"/>
            </w:tcMar>
          </w:tcPr>
          <w:p>
            <w:r>
              <w:rPr>
                <w:rFonts w:ascii="Arial" w:hAnsi="Arial"/>
                <w:sz w:val="19"/>
              </w:rPr>
              <w:t>SACTable</w:t>
            </w:r>
          </w:p>
        </w:tc>
        <w:tc>
          <w:tcPr>
            <w:tcW w:type="dxa" w:w="3120"/>
            <w:tcMar>
              <w:top w:w="100" w:type="dxa"/>
              <w:bottom w:w="100" w:type="dxa"/>
              <w:left w:w="150" w:type="dxa"/>
              <w:right w:w="150" w:type="dxa"/>
            </w:tcMar>
          </w:tcPr>
          <w:p>
            <w:r>
              <w:rPr>
                <w:rFonts w:ascii="Arial" w:hAnsi="Arial"/>
                <w:sz w:val="19"/>
              </w:rPr>
              <w:t>sac_table</w:t>
            </w:r>
          </w:p>
        </w:tc>
        <w:tc>
          <w:tcPr>
            <w:tcW w:type="dxa" w:w="3120"/>
            <w:tcMar>
              <w:top w:w="100" w:type="dxa"/>
              <w:bottom w:w="100" w:type="dxa"/>
              <w:left w:w="150" w:type="dxa"/>
              <w:right w:w="150" w:type="dxa"/>
            </w:tcMar>
          </w:tcPr>
          <w:p>
            <w:r>
              <w:rPr>
                <w:rFonts w:ascii="Arial" w:hAnsi="Arial"/>
                <w:sz w:val="19"/>
              </w:rPr>
              <w:t>Tracks Staff Accountability reviews. Fields: psc_rec_id (FK to PSCTable), sac_rec_id, emp_name, staff_no, present_designation, lapses_data (JSONField), status, current_role, mom_id (FK), sac_users_log (JSONField).</w:t>
            </w:r>
          </w:p>
        </w:tc>
      </w:tr>
      <w:tr>
        <w:tc>
          <w:tcPr>
            <w:tcW w:type="dxa" w:w="3120"/>
            <w:tcMar>
              <w:top w:w="100" w:type="dxa"/>
              <w:bottom w:w="100" w:type="dxa"/>
              <w:left w:w="150" w:type="dxa"/>
              <w:right w:w="150" w:type="dxa"/>
            </w:tcMar>
          </w:tcPr>
          <w:p>
            <w:r>
              <w:rPr>
                <w:rFonts w:ascii="Arial" w:hAnsi="Arial"/>
                <w:sz w:val="19"/>
              </w:rPr>
              <w:t>DocumentTable</w:t>
            </w:r>
          </w:p>
        </w:tc>
        <w:tc>
          <w:tcPr>
            <w:tcW w:type="dxa" w:w="3120"/>
            <w:tcMar>
              <w:top w:w="100" w:type="dxa"/>
              <w:bottom w:w="100" w:type="dxa"/>
              <w:left w:w="150" w:type="dxa"/>
              <w:right w:w="150" w:type="dxa"/>
            </w:tcMar>
          </w:tcPr>
          <w:p>
            <w:r>
              <w:rPr>
                <w:rFonts w:ascii="Arial" w:hAnsi="Arial"/>
                <w:sz w:val="19"/>
              </w:rPr>
              <w:t>document_table</w:t>
            </w:r>
          </w:p>
        </w:tc>
        <w:tc>
          <w:tcPr>
            <w:tcW w:type="dxa" w:w="3120"/>
            <w:tcMar>
              <w:top w:w="100" w:type="dxa"/>
              <w:bottom w:w="100" w:type="dxa"/>
              <w:left w:w="150" w:type="dxa"/>
              <w:right w:w="150" w:type="dxa"/>
            </w:tcMar>
          </w:tcPr>
          <w:p>
            <w:r>
              <w:rPr>
                <w:rFonts w:ascii="Arial" w:hAnsi="Arial"/>
                <w:sz w:val="19"/>
              </w:rPr>
              <w:t>Saves attachments. Fields: document_id (PK), review_id, review_type, file (TextField for base64 data), file_name, file_type.</w:t>
            </w:r>
          </w:p>
        </w:tc>
      </w:tr>
    </w:tbl>
    <w:p>
      <w:pPr>
        <w:pStyle w:val="Heading2"/>
        <w:keepNext/>
        <w:spacing w:before="280" w:after="80"/>
      </w:pPr>
      <w:r>
        <w:rPr>
          <w:rFonts w:ascii="Arial" w:hAnsi="Arial"/>
          <w:b/>
          <w:color w:val="708090"/>
          <w:sz w:val="28"/>
        </w:rPr>
        <w:t>4.3 Core JSON Schema Definitions</w:t>
      </w:r>
    </w:p>
    <w:p>
      <w:pPr>
        <w:spacing w:after="120" w:line="276" w:lineRule="auto"/>
      </w:pPr>
      <w:r>
        <w:rPr>
          <w:rFonts w:ascii="Arial" w:hAnsi="Arial"/>
          <w:color w:val="333333"/>
          <w:sz w:val="21"/>
        </w:rPr>
        <w:t>Due to the complex and dynamic nature of loan delinquency reviews, several fields are structured as JSON columns in the database rather than hardcoded tables:</w:t>
      </w:r>
    </w:p>
    <w:p>
      <w:pPr>
        <w:pStyle w:val="ListBullet"/>
        <w:spacing w:after="60" w:line="276" w:lineRule="auto"/>
      </w:pPr>
      <w:r>
        <w:rPr>
          <w:rFonts w:ascii="Arial" w:hAnsi="Arial"/>
          <w:b/>
          <w:color w:val="333333"/>
          <w:sz w:val="21"/>
        </w:rPr>
        <w:t xml:space="preserve">CustomerTable.lapses_details: </w:t>
      </w:r>
      <w:r>
        <w:rPr>
          <w:rFonts w:ascii="Arial" w:hAnsi="Arial"/>
          <w:color w:val="333333"/>
          <w:sz w:val="21"/>
        </w:rPr>
        <w:t>Stored in CustomerTable. Contains structural information about evaluated bank staff: 'records': [{'staff_no': ..., 'staff_name': ..., 'staff_branch_code': ..., 'staff_designation': ..., 'staff_lapses_details': ...}].</w:t>
      </w:r>
    </w:p>
    <w:p>
      <w:pPr>
        <w:pStyle w:val="ListBullet"/>
        <w:spacing w:after="60" w:line="276" w:lineRule="auto"/>
      </w:pPr>
      <w:r>
        <w:rPr>
          <w:rFonts w:ascii="Arial" w:hAnsi="Arial"/>
          <w:b/>
          <w:color w:val="333333"/>
          <w:sz w:val="21"/>
        </w:rPr>
        <w:t xml:space="preserve">PSCTable.staff_accountability: </w:t>
      </w:r>
      <w:r>
        <w:rPr>
          <w:rFonts w:ascii="Arial" w:hAnsi="Arial"/>
          <w:color w:val="333333"/>
          <w:sz w:val="21"/>
        </w:rPr>
        <w:t>Stored in PSCTable. Holds 20+ distinct validation fields, including: 'pre_sanction', 'post_sanction', 'post_sanction_sa', 'cersai', 'sec_availability', 'cgtmse_loan', 'all_aod' (list of Acknowledgement of Debts), and 'staff_data'.</w:t>
      </w:r>
    </w:p>
    <w:p>
      <w:pPr>
        <w:pStyle w:val="ListBullet"/>
        <w:spacing w:after="60" w:line="276" w:lineRule="auto"/>
      </w:pPr>
      <w:r>
        <w:rPr>
          <w:rFonts w:ascii="Arial" w:hAnsi="Arial"/>
          <w:b/>
          <w:color w:val="333333"/>
          <w:sz w:val="21"/>
        </w:rPr>
        <w:t xml:space="preserve">PSCTable.psc_users_log / SACTable.sac_users_log: </w:t>
      </w:r>
      <w:r>
        <w:rPr>
          <w:rFonts w:ascii="Arial" w:hAnsi="Arial"/>
          <w:color w:val="333333"/>
          <w:sz w:val="21"/>
        </w:rPr>
        <w:t>Tracks audit history of the maker-checker workflow: {'bo_maker': [...], 'bo_checker': [...], 'ro_maker': [...], 'ro_checker': [...], 'ho_maker': [...], 'ho_checker': [...], 'convener': [...]}. Each entry logs 'user', 'ses_key', 'designation', and 'status'.</w:t>
      </w:r>
    </w:p>
    <w:p>
      <w:r>
        <w:br w:type="page"/>
      </w:r>
    </w:p>
    <w:p>
      <w:pPr>
        <w:pStyle w:val="Heading1"/>
        <w:keepNext/>
        <w:spacing w:before="360" w:after="120"/>
      </w:pPr>
      <w:r>
        <w:rPr>
          <w:rFonts w:ascii="Arial" w:hAnsi="Arial"/>
          <w:b/>
          <w:color w:val="003366"/>
          <w:sz w:val="36"/>
        </w:rPr>
        <w:t>5. Key Workflows &amp; State Machine Diagrams</w:t>
      </w:r>
    </w:p>
    <w:p>
      <w:pPr>
        <w:pStyle w:val="Heading2"/>
        <w:keepNext/>
        <w:spacing w:before="280" w:after="80"/>
      </w:pPr>
      <w:r>
        <w:rPr>
          <w:rFonts w:ascii="Arial" w:hAnsi="Arial"/>
          <w:b/>
          <w:color w:val="708090"/>
          <w:sz w:val="28"/>
        </w:rPr>
        <w:t>5.1 Maker/Checker Status Transitions</w:t>
      </w:r>
    </w:p>
    <w:p>
      <w:pPr>
        <w:spacing w:after="120" w:line="276" w:lineRule="auto"/>
      </w:pPr>
      <w:r>
        <w:rPr>
          <w:rFonts w:ascii="Arial" w:hAnsi="Arial"/>
          <w:color w:val="333333"/>
          <w:sz w:val="21"/>
        </w:rPr>
        <w:t>Every screening case must flow through a structured validation chain. Below is the transition mapping showing the responsible role and status updates:</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tcPr>
          <w:p>
            <w:r>
              <w:rPr>
                <w:rFonts w:ascii="Arial" w:hAnsi="Arial"/>
                <w:b/>
                <w:sz w:val="19"/>
              </w:rPr>
              <w:t>Step Name</w:t>
            </w:r>
          </w:p>
        </w:tc>
        <w:tc>
          <w:tcPr>
            <w:tcW w:type="dxa" w:w="1872"/>
            <w:tcMar>
              <w:top w:w="100" w:type="dxa"/>
              <w:bottom w:w="100" w:type="dxa"/>
              <w:left w:w="150" w:type="dxa"/>
              <w:right w:w="150" w:type="dxa"/>
            </w:tcMar>
          </w:tcPr>
          <w:p>
            <w:r>
              <w:rPr>
                <w:rFonts w:ascii="Arial" w:hAnsi="Arial"/>
                <w:b/>
                <w:sz w:val="19"/>
              </w:rPr>
              <w:t>Assignee / Role</w:t>
            </w:r>
          </w:p>
        </w:tc>
        <w:tc>
          <w:tcPr>
            <w:tcW w:type="dxa" w:w="1872"/>
            <w:tcMar>
              <w:top w:w="100" w:type="dxa"/>
              <w:bottom w:w="100" w:type="dxa"/>
              <w:left w:w="150" w:type="dxa"/>
              <w:right w:w="150" w:type="dxa"/>
            </w:tcMar>
          </w:tcPr>
          <w:p>
            <w:r>
              <w:rPr>
                <w:rFonts w:ascii="Arial" w:hAnsi="Arial"/>
                <w:b/>
                <w:sz w:val="19"/>
              </w:rPr>
              <w:t>Current Status</w:t>
            </w:r>
          </w:p>
        </w:tc>
        <w:tc>
          <w:tcPr>
            <w:tcW w:type="dxa" w:w="1872"/>
            <w:tcMar>
              <w:top w:w="100" w:type="dxa"/>
              <w:bottom w:w="100" w:type="dxa"/>
              <w:left w:w="150" w:type="dxa"/>
              <w:right w:w="150" w:type="dxa"/>
            </w:tcMar>
          </w:tcPr>
          <w:p>
            <w:r>
              <w:rPr>
                <w:rFonts w:ascii="Arial" w:hAnsi="Arial"/>
                <w:b/>
                <w:sz w:val="19"/>
              </w:rPr>
              <w:t>Action Available</w:t>
            </w:r>
          </w:p>
        </w:tc>
        <w:tc>
          <w:tcPr>
            <w:tcW w:type="dxa" w:w="1872"/>
            <w:tcMar>
              <w:top w:w="100" w:type="dxa"/>
              <w:bottom w:w="100" w:type="dxa"/>
              <w:left w:w="150" w:type="dxa"/>
              <w:right w:w="150" w:type="dxa"/>
            </w:tcMar>
          </w:tcPr>
          <w:p>
            <w:r>
              <w:rPr>
                <w:rFonts w:ascii="Arial" w:hAnsi="Arial"/>
                <w:b/>
                <w:sz w:val="19"/>
              </w:rPr>
              <w:t>Next Status (Success / Return)</w:t>
            </w:r>
          </w:p>
        </w:tc>
      </w:tr>
      <w:tr>
        <w:tc>
          <w:tcPr>
            <w:tcW w:type="dxa" w:w="1872"/>
            <w:tcMar>
              <w:top w:w="100" w:type="dxa"/>
              <w:bottom w:w="100" w:type="dxa"/>
              <w:left w:w="150" w:type="dxa"/>
              <w:right w:w="150" w:type="dxa"/>
            </w:tcMar>
          </w:tcPr>
          <w:p>
            <w:r>
              <w:rPr>
                <w:rFonts w:ascii="Arial" w:hAnsi="Arial"/>
                <w:sz w:val="19"/>
              </w:rPr>
              <w:t>1. Initiate Case</w:t>
            </w:r>
          </w:p>
        </w:tc>
        <w:tc>
          <w:tcPr>
            <w:tcW w:type="dxa" w:w="1872"/>
            <w:tcMar>
              <w:top w:w="100" w:type="dxa"/>
              <w:bottom w:w="100" w:type="dxa"/>
              <w:left w:w="150" w:type="dxa"/>
              <w:right w:w="150" w:type="dxa"/>
            </w:tcMar>
          </w:tcPr>
          <w:p>
            <w:r>
              <w:rPr>
                <w:rFonts w:ascii="Arial" w:hAnsi="Arial"/>
                <w:sz w:val="19"/>
              </w:rPr>
              <w:t>BO Maker</w:t>
            </w:r>
          </w:p>
        </w:tc>
        <w:tc>
          <w:tcPr>
            <w:tcW w:type="dxa" w:w="1872"/>
            <w:tcMar>
              <w:top w:w="100" w:type="dxa"/>
              <w:bottom w:w="100" w:type="dxa"/>
              <w:left w:w="150" w:type="dxa"/>
              <w:right w:w="150" w:type="dxa"/>
            </w:tcMar>
          </w:tcPr>
          <w:p>
            <w:r>
              <w:rPr>
                <w:rFonts w:ascii="Arial" w:hAnsi="Arial"/>
                <w:sz w:val="19"/>
              </w:rPr>
              <w:t>Draft</w:t>
            </w:r>
          </w:p>
        </w:tc>
        <w:tc>
          <w:tcPr>
            <w:tcW w:type="dxa" w:w="1872"/>
            <w:tcMar>
              <w:top w:w="100" w:type="dxa"/>
              <w:bottom w:w="100" w:type="dxa"/>
              <w:left w:w="150" w:type="dxa"/>
              <w:right w:w="150" w:type="dxa"/>
            </w:tcMar>
          </w:tcPr>
          <w:p>
            <w:r>
              <w:rPr>
                <w:rFonts w:ascii="Arial" w:hAnsi="Arial"/>
                <w:sz w:val="19"/>
              </w:rPr>
              <w:t>Submit / Re-submit</w:t>
            </w:r>
          </w:p>
        </w:tc>
        <w:tc>
          <w:tcPr>
            <w:tcW w:type="dxa" w:w="1872"/>
            <w:tcMar>
              <w:top w:w="100" w:type="dxa"/>
              <w:bottom w:w="100" w:type="dxa"/>
              <w:left w:w="150" w:type="dxa"/>
              <w:right w:w="150" w:type="dxa"/>
            </w:tcMar>
          </w:tcPr>
          <w:p>
            <w:r>
              <w:rPr>
                <w:rFonts w:ascii="Arial" w:hAnsi="Arial"/>
                <w:sz w:val="19"/>
              </w:rPr>
              <w:t>Submitted (to BO Checker)</w:t>
            </w:r>
          </w:p>
        </w:tc>
      </w:tr>
      <w:tr>
        <w:tc>
          <w:tcPr>
            <w:tcW w:type="dxa" w:w="1872"/>
            <w:tcMar>
              <w:top w:w="100" w:type="dxa"/>
              <w:bottom w:w="100" w:type="dxa"/>
              <w:left w:w="150" w:type="dxa"/>
              <w:right w:w="150" w:type="dxa"/>
            </w:tcMar>
          </w:tcPr>
          <w:p>
            <w:r>
              <w:rPr>
                <w:rFonts w:ascii="Arial" w:hAnsi="Arial"/>
                <w:sz w:val="19"/>
              </w:rPr>
              <w:t>2. Local Audit</w:t>
            </w:r>
          </w:p>
        </w:tc>
        <w:tc>
          <w:tcPr>
            <w:tcW w:type="dxa" w:w="1872"/>
            <w:tcMar>
              <w:top w:w="100" w:type="dxa"/>
              <w:bottom w:w="100" w:type="dxa"/>
              <w:left w:w="150" w:type="dxa"/>
              <w:right w:w="150" w:type="dxa"/>
            </w:tcMar>
          </w:tcPr>
          <w:p>
            <w:r>
              <w:rPr>
                <w:rFonts w:ascii="Arial" w:hAnsi="Arial"/>
                <w:sz w:val="19"/>
              </w:rPr>
              <w:t>BO Checker</w:t>
            </w:r>
          </w:p>
        </w:tc>
        <w:tc>
          <w:tcPr>
            <w:tcW w:type="dxa" w:w="1872"/>
            <w:tcMar>
              <w:top w:w="100" w:type="dxa"/>
              <w:bottom w:w="100" w:type="dxa"/>
              <w:left w:w="150" w:type="dxa"/>
              <w:right w:w="150" w:type="dxa"/>
            </w:tcMar>
          </w:tcPr>
          <w:p>
            <w:r>
              <w:rPr>
                <w:rFonts w:ascii="Arial" w:hAnsi="Arial"/>
                <w:sz w:val="19"/>
              </w:rPr>
              <w:t>Submitted</w:t>
            </w:r>
          </w:p>
        </w:tc>
        <w:tc>
          <w:tcPr>
            <w:tcW w:type="dxa" w:w="1872"/>
            <w:tcMar>
              <w:top w:w="100" w:type="dxa"/>
              <w:bottom w:w="100" w:type="dxa"/>
              <w:left w:w="150" w:type="dxa"/>
              <w:right w:w="150" w:type="dxa"/>
            </w:tcMar>
          </w:tcPr>
          <w:p>
            <w:r>
              <w:rPr>
                <w:rFonts w:ascii="Arial" w:hAnsi="Arial"/>
                <w:sz w:val="19"/>
              </w:rPr>
              <w:t>Approve / Reject</w:t>
            </w:r>
          </w:p>
        </w:tc>
        <w:tc>
          <w:tcPr>
            <w:tcW w:type="dxa" w:w="1872"/>
            <w:tcMar>
              <w:top w:w="100" w:type="dxa"/>
              <w:bottom w:w="100" w:type="dxa"/>
              <w:left w:w="150" w:type="dxa"/>
              <w:right w:w="150" w:type="dxa"/>
            </w:tcMar>
          </w:tcPr>
          <w:p>
            <w:r>
              <w:rPr>
                <w:rFonts w:ascii="Arial" w:hAnsi="Arial"/>
                <w:sz w:val="19"/>
              </w:rPr>
              <w:t>Approved (to RO Maker) / Rejected (to BO Maker)</w:t>
            </w:r>
          </w:p>
        </w:tc>
      </w:tr>
      <w:tr>
        <w:tc>
          <w:tcPr>
            <w:tcW w:type="dxa" w:w="1872"/>
            <w:tcMar>
              <w:top w:w="100" w:type="dxa"/>
              <w:bottom w:w="100" w:type="dxa"/>
              <w:left w:w="150" w:type="dxa"/>
              <w:right w:w="150" w:type="dxa"/>
            </w:tcMar>
          </w:tcPr>
          <w:p>
            <w:r>
              <w:rPr>
                <w:rFonts w:ascii="Arial" w:hAnsi="Arial"/>
                <w:sz w:val="19"/>
              </w:rPr>
              <w:t>3. Regional Draft</w:t>
            </w:r>
          </w:p>
        </w:tc>
        <w:tc>
          <w:tcPr>
            <w:tcW w:type="dxa" w:w="1872"/>
            <w:tcMar>
              <w:top w:w="100" w:type="dxa"/>
              <w:bottom w:w="100" w:type="dxa"/>
              <w:left w:w="150" w:type="dxa"/>
              <w:right w:w="150" w:type="dxa"/>
            </w:tcMar>
          </w:tcPr>
          <w:p>
            <w:r>
              <w:rPr>
                <w:rFonts w:ascii="Arial" w:hAnsi="Arial"/>
                <w:sz w:val="19"/>
              </w:rPr>
              <w:t>RO Maker</w:t>
            </w:r>
          </w:p>
        </w:tc>
        <w:tc>
          <w:tcPr>
            <w:tcW w:type="dxa" w:w="1872"/>
            <w:tcMar>
              <w:top w:w="100" w:type="dxa"/>
              <w:bottom w:w="100" w:type="dxa"/>
              <w:left w:w="150" w:type="dxa"/>
              <w:right w:w="150" w:type="dxa"/>
            </w:tcMar>
          </w:tcPr>
          <w:p>
            <w:r>
              <w:rPr>
                <w:rFonts w:ascii="Arial" w:hAnsi="Arial"/>
                <w:sz w:val="19"/>
              </w:rPr>
              <w:t>Approved</w:t>
            </w:r>
          </w:p>
        </w:tc>
        <w:tc>
          <w:tcPr>
            <w:tcW w:type="dxa" w:w="1872"/>
            <w:tcMar>
              <w:top w:w="100" w:type="dxa"/>
              <w:bottom w:w="100" w:type="dxa"/>
              <w:left w:w="150" w:type="dxa"/>
              <w:right w:w="150" w:type="dxa"/>
            </w:tcMar>
          </w:tcPr>
          <w:p>
            <w:r>
              <w:rPr>
                <w:rFonts w:ascii="Arial" w:hAnsi="Arial"/>
                <w:sz w:val="19"/>
              </w:rPr>
              <w:t>Submit Regional Logs</w:t>
            </w:r>
          </w:p>
        </w:tc>
        <w:tc>
          <w:tcPr>
            <w:tcW w:type="dxa" w:w="1872"/>
            <w:tcMar>
              <w:top w:w="100" w:type="dxa"/>
              <w:bottom w:w="100" w:type="dxa"/>
              <w:left w:w="150" w:type="dxa"/>
              <w:right w:w="150" w:type="dxa"/>
            </w:tcMar>
          </w:tcPr>
          <w:p>
            <w:r>
              <w:rPr>
                <w:rFonts w:ascii="Arial" w:hAnsi="Arial"/>
                <w:sz w:val="19"/>
              </w:rPr>
              <w:t>Submitted (to RO Checker)</w:t>
            </w:r>
          </w:p>
        </w:tc>
      </w:tr>
      <w:tr>
        <w:tc>
          <w:tcPr>
            <w:tcW w:type="dxa" w:w="1872"/>
            <w:tcMar>
              <w:top w:w="100" w:type="dxa"/>
              <w:bottom w:w="100" w:type="dxa"/>
              <w:left w:w="150" w:type="dxa"/>
              <w:right w:w="150" w:type="dxa"/>
            </w:tcMar>
          </w:tcPr>
          <w:p>
            <w:r>
              <w:rPr>
                <w:rFonts w:ascii="Arial" w:hAnsi="Arial"/>
                <w:sz w:val="19"/>
              </w:rPr>
              <w:t>4. Regional Audit</w:t>
            </w:r>
          </w:p>
        </w:tc>
        <w:tc>
          <w:tcPr>
            <w:tcW w:type="dxa" w:w="1872"/>
            <w:tcMar>
              <w:top w:w="100" w:type="dxa"/>
              <w:bottom w:w="100" w:type="dxa"/>
              <w:left w:w="150" w:type="dxa"/>
              <w:right w:w="150" w:type="dxa"/>
            </w:tcMar>
          </w:tcPr>
          <w:p>
            <w:r>
              <w:rPr>
                <w:rFonts w:ascii="Arial" w:hAnsi="Arial"/>
                <w:sz w:val="19"/>
              </w:rPr>
              <w:t>RO Checker</w:t>
            </w:r>
          </w:p>
        </w:tc>
        <w:tc>
          <w:tcPr>
            <w:tcW w:type="dxa" w:w="1872"/>
            <w:tcMar>
              <w:top w:w="100" w:type="dxa"/>
              <w:bottom w:w="100" w:type="dxa"/>
              <w:left w:w="150" w:type="dxa"/>
              <w:right w:w="150" w:type="dxa"/>
            </w:tcMar>
          </w:tcPr>
          <w:p>
            <w:r>
              <w:rPr>
                <w:rFonts w:ascii="Arial" w:hAnsi="Arial"/>
                <w:sz w:val="19"/>
              </w:rPr>
              <w:t>Submitted</w:t>
            </w:r>
          </w:p>
        </w:tc>
        <w:tc>
          <w:tcPr>
            <w:tcW w:type="dxa" w:w="1872"/>
            <w:tcMar>
              <w:top w:w="100" w:type="dxa"/>
              <w:bottom w:w="100" w:type="dxa"/>
              <w:left w:w="150" w:type="dxa"/>
              <w:right w:w="150" w:type="dxa"/>
            </w:tcMar>
          </w:tcPr>
          <w:p>
            <w:r>
              <w:rPr>
                <w:rFonts w:ascii="Arial" w:hAnsi="Arial"/>
                <w:sz w:val="19"/>
              </w:rPr>
              <w:t>Approve / Reject</w:t>
            </w:r>
          </w:p>
        </w:tc>
        <w:tc>
          <w:tcPr>
            <w:tcW w:type="dxa" w:w="1872"/>
            <w:tcMar>
              <w:top w:w="100" w:type="dxa"/>
              <w:bottom w:w="100" w:type="dxa"/>
              <w:left w:w="150" w:type="dxa"/>
              <w:right w:w="150" w:type="dxa"/>
            </w:tcMar>
          </w:tcPr>
          <w:p>
            <w:r>
              <w:rPr>
                <w:rFonts w:ascii="Arial" w:hAnsi="Arial"/>
                <w:sz w:val="19"/>
              </w:rPr>
              <w:t>Approved (to HO Maker) / Rejected (to RO or BO Maker)</w:t>
            </w:r>
          </w:p>
        </w:tc>
      </w:tr>
      <w:tr>
        <w:tc>
          <w:tcPr>
            <w:tcW w:type="dxa" w:w="1872"/>
            <w:tcMar>
              <w:top w:w="100" w:type="dxa"/>
              <w:bottom w:w="100" w:type="dxa"/>
              <w:left w:w="150" w:type="dxa"/>
              <w:right w:w="150" w:type="dxa"/>
            </w:tcMar>
          </w:tcPr>
          <w:p>
            <w:r>
              <w:rPr>
                <w:rFonts w:ascii="Arial" w:hAnsi="Arial"/>
                <w:sz w:val="19"/>
              </w:rPr>
              <w:t>5. HO Appraisal</w:t>
            </w:r>
          </w:p>
        </w:tc>
        <w:tc>
          <w:tcPr>
            <w:tcW w:type="dxa" w:w="1872"/>
            <w:tcMar>
              <w:top w:w="100" w:type="dxa"/>
              <w:bottom w:w="100" w:type="dxa"/>
              <w:left w:w="150" w:type="dxa"/>
              <w:right w:w="150" w:type="dxa"/>
            </w:tcMar>
          </w:tcPr>
          <w:p>
            <w:r>
              <w:rPr>
                <w:rFonts w:ascii="Arial" w:hAnsi="Arial"/>
                <w:sz w:val="19"/>
              </w:rPr>
              <w:t>HO Maker</w:t>
            </w:r>
          </w:p>
        </w:tc>
        <w:tc>
          <w:tcPr>
            <w:tcW w:type="dxa" w:w="1872"/>
            <w:tcMar>
              <w:top w:w="100" w:type="dxa"/>
              <w:bottom w:w="100" w:type="dxa"/>
              <w:left w:w="150" w:type="dxa"/>
              <w:right w:w="150" w:type="dxa"/>
            </w:tcMar>
          </w:tcPr>
          <w:p>
            <w:r>
              <w:rPr>
                <w:rFonts w:ascii="Arial" w:hAnsi="Arial"/>
                <w:sz w:val="19"/>
              </w:rPr>
              <w:t>Approved</w:t>
            </w:r>
          </w:p>
        </w:tc>
        <w:tc>
          <w:tcPr>
            <w:tcW w:type="dxa" w:w="1872"/>
            <w:tcMar>
              <w:top w:w="100" w:type="dxa"/>
              <w:bottom w:w="100" w:type="dxa"/>
              <w:left w:w="150" w:type="dxa"/>
              <w:right w:w="150" w:type="dxa"/>
            </w:tcMar>
          </w:tcPr>
          <w:p>
            <w:r>
              <w:rPr>
                <w:rFonts w:ascii="Arial" w:hAnsi="Arial"/>
                <w:sz w:val="19"/>
              </w:rPr>
              <w:t>Submit HO Logs</w:t>
            </w:r>
          </w:p>
        </w:tc>
        <w:tc>
          <w:tcPr>
            <w:tcW w:type="dxa" w:w="1872"/>
            <w:tcMar>
              <w:top w:w="100" w:type="dxa"/>
              <w:bottom w:w="100" w:type="dxa"/>
              <w:left w:w="150" w:type="dxa"/>
              <w:right w:w="150" w:type="dxa"/>
            </w:tcMar>
          </w:tcPr>
          <w:p>
            <w:r>
              <w:rPr>
                <w:rFonts w:ascii="Arial" w:hAnsi="Arial"/>
                <w:sz w:val="19"/>
              </w:rPr>
              <w:t>Submitted (to HO Checker)</w:t>
            </w:r>
          </w:p>
        </w:tc>
      </w:tr>
      <w:tr>
        <w:tc>
          <w:tcPr>
            <w:tcW w:type="dxa" w:w="1872"/>
            <w:tcMar>
              <w:top w:w="100" w:type="dxa"/>
              <w:bottom w:w="100" w:type="dxa"/>
              <w:left w:w="150" w:type="dxa"/>
              <w:right w:w="150" w:type="dxa"/>
            </w:tcMar>
          </w:tcPr>
          <w:p>
            <w:r>
              <w:rPr>
                <w:rFonts w:ascii="Arial" w:hAnsi="Arial"/>
                <w:sz w:val="19"/>
              </w:rPr>
              <w:t>6. HO Audit</w:t>
            </w:r>
          </w:p>
        </w:tc>
        <w:tc>
          <w:tcPr>
            <w:tcW w:type="dxa" w:w="1872"/>
            <w:tcMar>
              <w:top w:w="100" w:type="dxa"/>
              <w:bottom w:w="100" w:type="dxa"/>
              <w:left w:w="150" w:type="dxa"/>
              <w:right w:w="150" w:type="dxa"/>
            </w:tcMar>
          </w:tcPr>
          <w:p>
            <w:r>
              <w:rPr>
                <w:rFonts w:ascii="Arial" w:hAnsi="Arial"/>
                <w:sz w:val="19"/>
              </w:rPr>
              <w:t>HO Checker</w:t>
            </w:r>
          </w:p>
        </w:tc>
        <w:tc>
          <w:tcPr>
            <w:tcW w:type="dxa" w:w="1872"/>
            <w:tcMar>
              <w:top w:w="100" w:type="dxa"/>
              <w:bottom w:w="100" w:type="dxa"/>
              <w:left w:w="150" w:type="dxa"/>
              <w:right w:w="150" w:type="dxa"/>
            </w:tcMar>
          </w:tcPr>
          <w:p>
            <w:r>
              <w:rPr>
                <w:rFonts w:ascii="Arial" w:hAnsi="Arial"/>
                <w:sz w:val="19"/>
              </w:rPr>
              <w:t>Submitted</w:t>
            </w:r>
          </w:p>
        </w:tc>
        <w:tc>
          <w:tcPr>
            <w:tcW w:type="dxa" w:w="1872"/>
            <w:tcMar>
              <w:top w:w="100" w:type="dxa"/>
              <w:bottom w:w="100" w:type="dxa"/>
              <w:left w:w="150" w:type="dxa"/>
              <w:right w:w="150" w:type="dxa"/>
            </w:tcMar>
          </w:tcPr>
          <w:p>
            <w:r>
              <w:rPr>
                <w:rFonts w:ascii="Arial" w:hAnsi="Arial"/>
                <w:sz w:val="19"/>
              </w:rPr>
              <w:t>Approve / Reject</w:t>
            </w:r>
          </w:p>
        </w:tc>
        <w:tc>
          <w:tcPr>
            <w:tcW w:type="dxa" w:w="1872"/>
            <w:tcMar>
              <w:top w:w="100" w:type="dxa"/>
              <w:bottom w:w="100" w:type="dxa"/>
              <w:left w:w="150" w:type="dxa"/>
              <w:right w:w="150" w:type="dxa"/>
            </w:tcMar>
          </w:tcPr>
          <w:p>
            <w:r>
              <w:rPr>
                <w:rFonts w:ascii="Arial" w:hAnsi="Arial"/>
                <w:sz w:val="19"/>
              </w:rPr>
              <w:t>Approved (to Convener) / Rejected (to HO, RO, or BO Maker)</w:t>
            </w:r>
          </w:p>
        </w:tc>
      </w:tr>
      <w:tr>
        <w:tc>
          <w:tcPr>
            <w:tcW w:type="dxa" w:w="1872"/>
            <w:tcMar>
              <w:top w:w="100" w:type="dxa"/>
              <w:bottom w:w="100" w:type="dxa"/>
              <w:left w:w="150" w:type="dxa"/>
              <w:right w:w="150" w:type="dxa"/>
            </w:tcMar>
          </w:tcPr>
          <w:p>
            <w:r>
              <w:rPr>
                <w:rFonts w:ascii="Arial" w:hAnsi="Arial"/>
                <w:sz w:val="19"/>
              </w:rPr>
              <w:t>7. Final Closure</w:t>
            </w:r>
          </w:p>
        </w:tc>
        <w:tc>
          <w:tcPr>
            <w:tcW w:type="dxa" w:w="1872"/>
            <w:tcMar>
              <w:top w:w="100" w:type="dxa"/>
              <w:bottom w:w="100" w:type="dxa"/>
              <w:left w:w="150" w:type="dxa"/>
              <w:right w:w="150" w:type="dxa"/>
            </w:tcMar>
          </w:tcPr>
          <w:p>
            <w:r>
              <w:rPr>
                <w:rFonts w:ascii="Arial" w:hAnsi="Arial"/>
                <w:sz w:val="19"/>
              </w:rPr>
              <w:t>Convener</w:t>
            </w:r>
          </w:p>
        </w:tc>
        <w:tc>
          <w:tcPr>
            <w:tcW w:type="dxa" w:w="1872"/>
            <w:tcMar>
              <w:top w:w="100" w:type="dxa"/>
              <w:bottom w:w="100" w:type="dxa"/>
              <w:left w:w="150" w:type="dxa"/>
              <w:right w:w="150" w:type="dxa"/>
            </w:tcMar>
          </w:tcPr>
          <w:p>
            <w:r>
              <w:rPr>
                <w:rFonts w:ascii="Arial" w:hAnsi="Arial"/>
                <w:sz w:val="19"/>
              </w:rPr>
              <w:t>Approved</w:t>
            </w:r>
          </w:p>
        </w:tc>
        <w:tc>
          <w:tcPr>
            <w:tcW w:type="dxa" w:w="1872"/>
            <w:tcMar>
              <w:top w:w="100" w:type="dxa"/>
              <w:bottom w:w="100" w:type="dxa"/>
              <w:left w:w="150" w:type="dxa"/>
              <w:right w:w="150" w:type="dxa"/>
            </w:tcMar>
          </w:tcPr>
          <w:p>
            <w:r>
              <w:rPr>
                <w:rFonts w:ascii="Arial" w:hAnsi="Arial"/>
                <w:sz w:val="19"/>
              </w:rPr>
              <w:t>Associate to MOM / Close</w:t>
            </w:r>
          </w:p>
        </w:tc>
        <w:tc>
          <w:tcPr>
            <w:tcW w:type="dxa" w:w="1872"/>
            <w:tcMar>
              <w:top w:w="100" w:type="dxa"/>
              <w:bottom w:w="100" w:type="dxa"/>
              <w:left w:w="150" w:type="dxa"/>
              <w:right w:w="150" w:type="dxa"/>
            </w:tcMar>
          </w:tcPr>
          <w:p>
            <w:r>
              <w:rPr>
                <w:rFonts w:ascii="Arial" w:hAnsi="Arial"/>
                <w:sz w:val="19"/>
              </w:rPr>
              <w:t>MOM Closed (Case complete)</w:t>
            </w:r>
          </w:p>
        </w:tc>
      </w:tr>
    </w:tbl>
    <w:p>
      <w:pPr>
        <w:pStyle w:val="Heading2"/>
        <w:keepNext/>
        <w:spacing w:before="280" w:after="80"/>
      </w:pPr>
      <w:r>
        <w:rPr>
          <w:rFonts w:ascii="Arial" w:hAnsi="Arial"/>
          <w:b/>
          <w:color w:val="708090"/>
          <w:sz w:val="28"/>
        </w:rPr>
        <w:t>5.2 Business Rules for Workflow Rejections</w:t>
      </w:r>
    </w:p>
    <w:p>
      <w:pPr>
        <w:spacing w:after="120" w:line="276" w:lineRule="auto"/>
      </w:pPr>
      <w:r>
        <w:rPr>
          <w:rFonts w:ascii="Arial" w:hAnsi="Arial"/>
          <w:color w:val="333333"/>
          <w:sz w:val="21"/>
        </w:rPr>
        <w:t>Rejection levels are tracked in a specialized JSON payload (reject_remarks_div) during the POST transaction. When an auditor rejects a review:</w:t>
      </w:r>
    </w:p>
    <w:p>
      <w:pPr>
        <w:pStyle w:val="ListBullet"/>
        <w:spacing w:after="60" w:line="276" w:lineRule="auto"/>
      </w:pPr>
      <w:r>
        <w:rPr>
          <w:rFonts w:ascii="Arial" w:hAnsi="Arial"/>
          <w:b/>
          <w:color w:val="333333"/>
          <w:sz w:val="21"/>
        </w:rPr>
        <w:t xml:space="preserve">Target Resolution: </w:t>
      </w:r>
      <w:r>
        <w:rPr>
          <w:rFonts w:ascii="Arial" w:hAnsi="Arial"/>
          <w:color w:val="333333"/>
          <w:sz w:val="21"/>
        </w:rPr>
        <w:t>The rejecting user specifies the target level ('BO' or 'RO' or 'HO').</w:t>
      </w:r>
    </w:p>
    <w:p>
      <w:pPr>
        <w:pStyle w:val="ListBullet"/>
        <w:spacing w:after="60" w:line="276" w:lineRule="auto"/>
      </w:pPr>
      <w:r>
        <w:rPr>
          <w:rFonts w:ascii="Arial" w:hAnsi="Arial"/>
          <w:b/>
          <w:color w:val="333333"/>
          <w:sz w:val="21"/>
        </w:rPr>
        <w:t xml:space="preserve">Role Demotion: </w:t>
      </w:r>
      <w:r>
        <w:rPr>
          <w:rFonts w:ascii="Arial" w:hAnsi="Arial"/>
          <w:color w:val="333333"/>
          <w:sz w:val="21"/>
        </w:rPr>
        <w:t>The system extracts the 'rej_lvl' key and updates current_role back to the corresponding Maker role.</w:t>
      </w:r>
    </w:p>
    <w:p>
      <w:pPr>
        <w:pStyle w:val="ListBullet"/>
        <w:spacing w:after="60" w:line="276" w:lineRule="auto"/>
      </w:pPr>
      <w:r>
        <w:rPr>
          <w:rFonts w:ascii="Arial" w:hAnsi="Arial"/>
          <w:b/>
          <w:color w:val="333333"/>
          <w:sz w:val="21"/>
        </w:rPr>
        <w:t xml:space="preserve">Max Rejections Rule: </w:t>
      </w:r>
      <w:r>
        <w:rPr>
          <w:rFonts w:ascii="Arial" w:hAnsi="Arial"/>
          <w:color w:val="333333"/>
          <w:sz w:val="21"/>
        </w:rPr>
        <w:t>If a Staff Accountability form (SAC) is rejected more than 14 times (tracked by len(reject_remarks) in sac_views.py), the account is flagged as 'Terminated' and removed from the active queue.</w:t>
      </w:r>
    </w:p>
    <w:p>
      <w:pPr>
        <w:pStyle w:val="Heading2"/>
        <w:keepNext/>
        <w:spacing w:before="280" w:after="80"/>
      </w:pPr>
      <w:r>
        <w:rPr>
          <w:rFonts w:ascii="Arial" w:hAnsi="Arial"/>
          <w:b/>
          <w:color w:val="708090"/>
          <w:sz w:val="28"/>
        </w:rPr>
        <w:t>5.3 Minutes of Meetings (MOM) Validation Rules</w:t>
      </w:r>
    </w:p>
    <w:p>
      <w:pPr>
        <w:spacing w:after="120" w:line="276" w:lineRule="auto"/>
      </w:pPr>
      <w:r>
        <w:rPr>
          <w:rFonts w:ascii="Arial" w:hAnsi="Arial"/>
          <w:color w:val="333333"/>
          <w:sz w:val="21"/>
        </w:rPr>
        <w:t>When a convener schedules an MOM, the system validates the dates in psc_views.py (mom_db_store):</w:t>
      </w:r>
    </w:p>
    <w:p>
      <w:pPr>
        <w:pStyle w:val="ListBullet"/>
        <w:spacing w:after="60" w:line="276" w:lineRule="auto"/>
      </w:pPr>
      <w:r>
        <w:rPr>
          <w:rFonts w:ascii="Arial" w:hAnsi="Arial"/>
          <w:b/>
          <w:color w:val="333333"/>
          <w:sz w:val="21"/>
        </w:rPr>
        <w:t xml:space="preserve">Duplicate Date Check: </w:t>
      </w:r>
      <w:r>
        <w:rPr>
          <w:rFonts w:ascii="Arial" w:hAnsi="Arial"/>
          <w:color w:val="333333"/>
          <w:sz w:val="21"/>
        </w:rPr>
        <w:t>The system prevents the creation of active meeting instances if a meeting exists on that exact date.</w:t>
      </w:r>
    </w:p>
    <w:p>
      <w:pPr>
        <w:pStyle w:val="ListBullet"/>
        <w:spacing w:after="60" w:line="276" w:lineRule="auto"/>
      </w:pPr>
      <w:r>
        <w:rPr>
          <w:rFonts w:ascii="Arial" w:hAnsi="Arial"/>
          <w:b/>
          <w:color w:val="333333"/>
          <w:sz w:val="21"/>
        </w:rPr>
        <w:t xml:space="preserve">Overlap Guard: </w:t>
      </w:r>
      <w:r>
        <w:rPr>
          <w:rFonts w:ascii="Arial" w:hAnsi="Arial"/>
          <w:color w:val="333333"/>
          <w:sz w:val="21"/>
        </w:rPr>
        <w:t>It ensures a clean schedule by preventing the overlapping of multiple active meetings across past, present, and future ranges.</w:t>
      </w:r>
    </w:p>
    <w:p>
      <w:pPr>
        <w:pStyle w:val="ListBullet"/>
        <w:spacing w:after="60" w:line="276" w:lineRule="auto"/>
      </w:pPr>
      <w:r>
        <w:rPr>
          <w:rFonts w:ascii="Arial" w:hAnsi="Arial"/>
          <w:b/>
          <w:color w:val="333333"/>
          <w:sz w:val="21"/>
        </w:rPr>
        <w:t xml:space="preserve">MOM Lock-in: </w:t>
      </w:r>
      <w:r>
        <w:rPr>
          <w:rFonts w:ascii="Arial" w:hAnsi="Arial"/>
          <w:color w:val="333333"/>
          <w:sz w:val="21"/>
        </w:rPr>
        <w:t>When a meeting is finalized, mom_total_count is called to link the evaluated loan records, lock their reviews, and set their status to closed.</w:t>
      </w:r>
    </w:p>
    <w:p>
      <w:r>
        <w:br w:type="page"/>
      </w:r>
    </w:p>
    <w:p>
      <w:pPr>
        <w:pStyle w:val="Heading1"/>
        <w:keepNext/>
        <w:spacing w:before="360" w:after="120"/>
      </w:pPr>
      <w:r>
        <w:rPr>
          <w:rFonts w:ascii="Arial" w:hAnsi="Arial"/>
          <w:b/>
          <w:color w:val="003366"/>
          <w:sz w:val="36"/>
        </w:rPr>
        <w:t>6. Detailed Walkthrough of Key Operations</w:t>
      </w:r>
    </w:p>
    <w:p>
      <w:pPr>
        <w:pStyle w:val="Heading2"/>
        <w:keepNext/>
        <w:spacing w:before="280" w:after="80"/>
      </w:pPr>
      <w:r>
        <w:rPr>
          <w:rFonts w:ascii="Arial" w:hAnsi="Arial"/>
          <w:b/>
          <w:color w:val="708090"/>
          <w:sz w:val="28"/>
        </w:rPr>
        <w:t>6.1 Saving PSC Reviews (psc_db_store)</w:t>
      </w:r>
    </w:p>
    <w:p>
      <w:pPr>
        <w:spacing w:after="120" w:line="276" w:lineRule="auto"/>
      </w:pPr>
      <w:r>
        <w:rPr>
          <w:rFonts w:ascii="Arial" w:hAnsi="Arial"/>
          <w:color w:val="333333"/>
          <w:sz w:val="21"/>
        </w:rPr>
        <w:t>The psc_db_store function in preliminaryscreeningcommittee_review/views/psc_views.py handles case persistence. The execution sequence is detailed below:</w:t>
      </w:r>
    </w:p>
    <w:p>
      <w:pPr>
        <w:pStyle w:val="ListBullet"/>
        <w:spacing w:after="60" w:line="276" w:lineRule="auto"/>
      </w:pPr>
      <w:r>
        <w:rPr>
          <w:rFonts w:ascii="Arial" w:hAnsi="Arial"/>
          <w:b/>
          <w:color w:val="333333"/>
          <w:sz w:val="21"/>
        </w:rPr>
        <w:t xml:space="preserve">1. Payload Intake: </w:t>
      </w:r>
      <w:r>
        <w:rPr>
          <w:rFonts w:ascii="Arial" w:hAnsi="Arial"/>
          <w:color w:val="333333"/>
          <w:sz w:val="21"/>
        </w:rPr>
        <w:t>Accepts the request object and a 'data' array containing basic details, credit facilities, securities, and staff lapses.</w:t>
      </w:r>
    </w:p>
    <w:p>
      <w:pPr>
        <w:pStyle w:val="ListBullet"/>
        <w:spacing w:after="60" w:line="276" w:lineRule="auto"/>
      </w:pPr>
      <w:r>
        <w:rPr>
          <w:rFonts w:ascii="Arial" w:hAnsi="Arial"/>
          <w:b/>
          <w:color w:val="333333"/>
          <w:sz w:val="21"/>
        </w:rPr>
        <w:t xml:space="preserve">2. State Routing: </w:t>
      </w:r>
      <w:r>
        <w:rPr>
          <w:rFonts w:ascii="Arial" w:hAnsi="Arial"/>
          <w:color w:val="333333"/>
          <w:sz w:val="21"/>
        </w:rPr>
        <w:t>Examines role_val ('edit1', 'approve2', etc.) and status ('Submitted', 'Approved', 'Rejected') to calculate the next workflow role assignee.</w:t>
      </w:r>
    </w:p>
    <w:p>
      <w:pPr>
        <w:pStyle w:val="ListBullet"/>
        <w:spacing w:after="60" w:line="276" w:lineRule="auto"/>
      </w:pPr>
      <w:r>
        <w:rPr>
          <w:rFonts w:ascii="Arial" w:hAnsi="Arial"/>
          <w:b/>
          <w:color w:val="333333"/>
          <w:sz w:val="21"/>
        </w:rPr>
        <w:t xml:space="preserve">3. Database Transaction: </w:t>
      </w:r>
      <w:r>
        <w:rPr>
          <w:rFonts w:ascii="Arial" w:hAnsi="Arial"/>
          <w:color w:val="333333"/>
          <w:sz w:val="21"/>
        </w:rPr>
        <w:t>Initializes a django.db.transaction.atomic() context to ensure database consistency during the updates.</w:t>
      </w:r>
    </w:p>
    <w:p>
      <w:pPr>
        <w:pStyle w:val="ListBullet"/>
        <w:spacing w:after="60" w:line="276" w:lineRule="auto"/>
      </w:pPr>
      <w:r>
        <w:rPr>
          <w:rFonts w:ascii="Arial" w:hAnsi="Arial"/>
          <w:b/>
          <w:color w:val="333333"/>
          <w:sz w:val="21"/>
        </w:rPr>
        <w:t xml:space="preserve">4. PSC Case Update: </w:t>
      </w:r>
      <w:r>
        <w:rPr>
          <w:rFonts w:ascii="Arial" w:hAnsi="Arial"/>
          <w:color w:val="333333"/>
          <w:sz w:val="21"/>
        </w:rPr>
        <w:t>Queries PSCTable records matching the cust_id, updates general columns (borrower details, exposure, recovery steps), and saves the changes.</w:t>
      </w:r>
    </w:p>
    <w:p>
      <w:pPr>
        <w:pStyle w:val="ListBullet"/>
        <w:spacing w:after="60" w:line="276" w:lineRule="auto"/>
      </w:pPr>
      <w:r>
        <w:rPr>
          <w:rFonts w:ascii="Arial" w:hAnsi="Arial"/>
          <w:b/>
          <w:color w:val="333333"/>
          <w:sz w:val="21"/>
        </w:rPr>
        <w:t xml:space="preserve">5. Action Logging: </w:t>
      </w:r>
      <w:r>
        <w:rPr>
          <w:rFonts w:ascii="Arial" w:hAnsi="Arial"/>
          <w:color w:val="333333"/>
          <w:sz w:val="21"/>
        </w:rPr>
        <w:t>Invokes update_PSC_SAC_MOM_logs to append the employee's ID, session token, and timestamp to psc_users_log.</w:t>
      </w:r>
    </w:p>
    <w:p>
      <w:pPr>
        <w:pStyle w:val="ListBullet"/>
        <w:spacing w:after="60" w:line="276" w:lineRule="auto"/>
      </w:pPr>
      <w:r>
        <w:rPr>
          <w:rFonts w:ascii="Arial" w:hAnsi="Arial"/>
          <w:b/>
          <w:color w:val="333333"/>
          <w:sz w:val="21"/>
        </w:rPr>
        <w:t xml:space="preserve">6. Customer Sync: </w:t>
      </w:r>
      <w:r>
        <w:rPr>
          <w:rFonts w:ascii="Arial" w:hAnsi="Arial"/>
          <w:color w:val="333333"/>
          <w:sz w:val="21"/>
        </w:rPr>
        <w:t>Updates the matching CustomerTable record's status, assignee, and review ID.</w:t>
      </w:r>
    </w:p>
    <w:p>
      <w:pPr>
        <w:pStyle w:val="ListBullet"/>
        <w:spacing w:after="60" w:line="276" w:lineRule="auto"/>
      </w:pPr>
      <w:r>
        <w:rPr>
          <w:rFonts w:ascii="Arial" w:hAnsi="Arial"/>
          <w:b/>
          <w:color w:val="333333"/>
          <w:sz w:val="21"/>
        </w:rPr>
        <w:t xml:space="preserve">7. Credit Facility Refresh: </w:t>
      </w:r>
      <w:r>
        <w:rPr>
          <w:rFonts w:ascii="Arial" w:hAnsi="Arial"/>
          <w:color w:val="333333"/>
          <w:sz w:val="21"/>
        </w:rPr>
        <w:t>Deletes previous creditfacility_table records linked to this customer and loops through the new credit_sanction data to save updated entries.</w:t>
      </w:r>
    </w:p>
    <w:p>
      <w:pPr>
        <w:pStyle w:val="ListBullet"/>
        <w:spacing w:after="60" w:line="276" w:lineRule="auto"/>
      </w:pPr>
      <w:r>
        <w:rPr>
          <w:rFonts w:ascii="Arial" w:hAnsi="Arial"/>
          <w:b/>
          <w:color w:val="333333"/>
          <w:sz w:val="21"/>
        </w:rPr>
        <w:t xml:space="preserve">8. Securities Refresh: </w:t>
      </w:r>
      <w:r>
        <w:rPr>
          <w:rFonts w:ascii="Arial" w:hAnsi="Arial"/>
          <w:color w:val="333333"/>
          <w:sz w:val="21"/>
        </w:rPr>
        <w:t>Deletes previous securities_table records and saves the new collateral valuations.</w:t>
      </w:r>
    </w:p>
    <w:p>
      <w:pPr>
        <w:pStyle w:val="ListBullet"/>
        <w:spacing w:after="60" w:line="276" w:lineRule="auto"/>
      </w:pPr>
      <w:r>
        <w:rPr>
          <w:rFonts w:ascii="Arial" w:hAnsi="Arial"/>
          <w:b/>
          <w:color w:val="333333"/>
          <w:sz w:val="21"/>
        </w:rPr>
        <w:t xml:space="preserve">9. Document Attachments: </w:t>
      </w:r>
      <w:r>
        <w:rPr>
          <w:rFonts w:ascii="Arial" w:hAnsi="Arial"/>
          <w:color w:val="333333"/>
          <w:sz w:val="21"/>
        </w:rPr>
        <w:t>If documents were uploaded during the session, it extracts their base64 payloads and calls fileUpload.file_upload.insert_documents to save them in DocumentTable.</w:t>
      </w:r>
    </w:p>
    <w:p>
      <w:pPr>
        <w:pStyle w:val="Heading2"/>
        <w:keepNext/>
        <w:spacing w:before="280" w:after="80"/>
      </w:pPr>
      <w:r>
        <w:rPr>
          <w:rFonts w:ascii="Arial" w:hAnsi="Arial"/>
          <w:b/>
          <w:color w:val="708090"/>
          <w:sz w:val="28"/>
        </w:rPr>
        <w:t>6.2 Saving SAC Reviews (sac_db_store)</w:t>
      </w:r>
    </w:p>
    <w:p>
      <w:pPr>
        <w:spacing w:after="120" w:line="276" w:lineRule="auto"/>
      </w:pPr>
      <w:r>
        <w:rPr>
          <w:rFonts w:ascii="Arial" w:hAnsi="Arial"/>
          <w:color w:val="333333"/>
          <w:sz w:val="21"/>
        </w:rPr>
        <w:t>The sac_db_store function operates similarly for Staff Accountability reviews:</w:t>
      </w:r>
    </w:p>
    <w:p>
      <w:pPr>
        <w:pStyle w:val="ListBullet"/>
        <w:spacing w:after="60" w:line="276" w:lineRule="auto"/>
      </w:pPr>
      <w:r>
        <w:rPr>
          <w:rFonts w:ascii="Arial" w:hAnsi="Arial"/>
          <w:b/>
          <w:color w:val="333333"/>
          <w:sz w:val="21"/>
        </w:rPr>
        <w:t xml:space="preserve">1. Payload Intake: </w:t>
      </w:r>
      <w:r>
        <w:rPr>
          <w:rFonts w:ascii="Arial" w:hAnsi="Arial"/>
          <w:color w:val="333333"/>
          <w:sz w:val="21"/>
        </w:rPr>
        <w:t>Pulls basic details including staff_no, present_designation, and present_working.</w:t>
      </w:r>
    </w:p>
    <w:p>
      <w:pPr>
        <w:pStyle w:val="ListBullet"/>
        <w:spacing w:after="60" w:line="276" w:lineRule="auto"/>
      </w:pPr>
      <w:r>
        <w:rPr>
          <w:rFonts w:ascii="Arial" w:hAnsi="Arial"/>
          <w:b/>
          <w:color w:val="333333"/>
          <w:sz w:val="21"/>
        </w:rPr>
        <w:t xml:space="preserve">2. Lapse Metadata Packing: </w:t>
      </w:r>
      <w:r>
        <w:rPr>
          <w:rFonts w:ascii="Arial" w:hAnsi="Arial"/>
          <w:color w:val="333333"/>
          <w:sz w:val="21"/>
        </w:rPr>
        <w:t>Packs lapses_branch, fraud_element, addr_lett_date, reply_date, and rep_auth_remarks into a lapses_data JSON payload.</w:t>
      </w:r>
    </w:p>
    <w:p>
      <w:pPr>
        <w:pStyle w:val="ListBullet"/>
        <w:spacing w:after="60" w:line="276" w:lineRule="auto"/>
      </w:pPr>
      <w:r>
        <w:rPr>
          <w:rFonts w:ascii="Arial" w:hAnsi="Arial"/>
          <w:b/>
          <w:color w:val="333333"/>
          <w:sz w:val="21"/>
        </w:rPr>
        <w:t xml:space="preserve">3. Database Update: </w:t>
      </w:r>
      <w:r>
        <w:rPr>
          <w:rFonts w:ascii="Arial" w:hAnsi="Arial"/>
          <w:color w:val="333333"/>
          <w:sz w:val="21"/>
        </w:rPr>
        <w:t>Loops through matching SACTable entries and updates their details, including the lapses_data column.</w:t>
      </w:r>
    </w:p>
    <w:p>
      <w:pPr>
        <w:pStyle w:val="ListBullet"/>
        <w:spacing w:after="60" w:line="276" w:lineRule="auto"/>
      </w:pPr>
      <w:r>
        <w:rPr>
          <w:rFonts w:ascii="Arial" w:hAnsi="Arial"/>
          <w:b/>
          <w:color w:val="333333"/>
          <w:sz w:val="21"/>
        </w:rPr>
        <w:t xml:space="preserve">4. Log Sync: </w:t>
      </w:r>
      <w:r>
        <w:rPr>
          <w:rFonts w:ascii="Arial" w:hAnsi="Arial"/>
          <w:color w:val="333333"/>
          <w:sz w:val="21"/>
        </w:rPr>
        <w:t>Appends updates to the sac_users_log column.</w:t>
      </w:r>
    </w:p>
    <w:p>
      <w:pPr>
        <w:pStyle w:val="ListBullet"/>
        <w:spacing w:after="60" w:line="276" w:lineRule="auto"/>
      </w:pPr>
      <w:r>
        <w:rPr>
          <w:rFonts w:ascii="Arial" w:hAnsi="Arial"/>
          <w:b/>
          <w:color w:val="333333"/>
          <w:sz w:val="21"/>
        </w:rPr>
        <w:t xml:space="preserve">5. Customer Update: </w:t>
      </w:r>
      <w:r>
        <w:rPr>
          <w:rFonts w:ascii="Arial" w:hAnsi="Arial"/>
          <w:color w:val="333333"/>
          <w:sz w:val="21"/>
        </w:rPr>
        <w:t>Updates CustomerTable's sac_details JSON field with the new assignee and status, and saves the changes.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