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80" w:after="160"/>
        <w:jc w:val="center"/>
      </w:pPr>
      <w:r>
        <w:rPr>
          <w:rFonts w:ascii="Times New Roman" w:hAnsi="Times New Roman" w:eastAsia="Arial Unicode MS"/>
          <w:b/>
          <w:color w:val="1F3A5F"/>
          <w:sz w:val="36"/>
        </w:rPr>
        <w:t>同居协议书（中国大陆通用可配置模板）</w:t>
      </w:r>
    </w:p>
    <w:p>
      <w:pPr>
        <w:spacing w:after="200"/>
        <w:jc w:val="center"/>
      </w:pPr>
      <w:r>
        <w:rPr>
          <w:rFonts w:ascii="Times New Roman" w:hAnsi="Times New Roman" w:eastAsia="Arial Unicode MS"/>
          <w:b/>
          <w:color w:val="596069"/>
          <w:sz w:val="19"/>
        </w:rPr>
        <w:t>状态：DRAFT｜空白通用工作稿｜签署前须完成个案核验与律师实质复核</w:t>
      </w:r>
    </w:p>
    <w:p>
      <w:pPr>
        <w:pStyle w:val="TemplateNote"/>
        <w:shd w:val="clear" w:fill="F3F5F8"/>
        <w:pBdr>
          <w:left w:val="single" w:sz="12" w:space="8" w:color="AAB4C3"/>
        </w:pBdr>
      </w:pPr>
      <w:r>
        <w:rPr>
          <w:rFonts w:ascii="Times New Roman" w:hAnsi="Times New Roman" w:eastAsia="Arial Unicode MS"/>
          <w:b w:val="0"/>
          <w:color w:val="596069"/>
          <w:sz w:val="19"/>
        </w:rPr>
        <w:t>使用说明：仅在双方当前均无配偶且具有相应民事行为能力时使用。本模板以用户提供范本的“关系性质—财产—开支—债务—账户—子女—效力”结构为主，整合住房、父母出资、数字账号、共同经营、退出和配套文件。双方任何一方有配偶、婚姻状态不明、存在家暴或重大胁迫时，停止普通同居协议终稿。</w:t>
      </w:r>
    </w:p>
    <w:p>
      <w:pPr>
        <w:pStyle w:val="TemplateNote"/>
        <w:shd w:val="clear" w:fill="F3F5F8"/>
        <w:pBdr>
          <w:left w:val="single" w:sz="12" w:space="8" w:color="AAB4C3"/>
        </w:pBdr>
      </w:pPr>
      <w:r>
        <w:rPr>
          <w:rFonts w:ascii="Times New Roman" w:hAnsi="Times New Roman" w:eastAsia="Arial Unicode MS"/>
          <w:b w:val="0"/>
          <w:color w:val="596069"/>
          <w:sz w:val="19"/>
        </w:rPr>
        <w:t>不得写入：把同居等同婚姻、限制分手或人身交往、提出分手即没收财产、忠诚惩罚、用内部约定当然对抗债权人、预先降低非婚生子女权益、将照护补偿一概标记为“非赠与”并放弃全部法定撤销规则。</w:t>
      </w:r>
    </w:p>
    <w:p>
      <w:pPr>
        <w:keepNext/>
        <w:spacing w:before="200" w:after="160"/>
        <w:jc w:val="center"/>
      </w:pPr>
      <w:r>
        <w:rPr>
          <w:rFonts w:ascii="Times New Roman" w:hAnsi="Times New Roman" w:eastAsia="Arial Unicode MS"/>
          <w:b/>
          <w:color w:val="1F2937"/>
          <w:sz w:val="32"/>
        </w:rPr>
        <w:t>同居协议书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协议编号：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签订地：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[省/自治区/直辖市][市][区/县]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签订日期：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[年]年[月]月[日]日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甲方：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[姓名]</w:t>
      </w:r>
      <w:r>
        <w:rPr>
          <w:rFonts w:ascii="Times New Roman" w:hAnsi="Times New Roman" w:eastAsia="Arial Unicode MS"/>
          <w:b w:val="0"/>
          <w:color w:val="1F2937"/>
          <w:sz w:val="21"/>
        </w:rPr>
        <w:t>，性别：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，国籍：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，证件类型及号码：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，联系电话：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，联系地址：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乙方：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[姓名]</w:t>
      </w:r>
      <w:r>
        <w:rPr>
          <w:rFonts w:ascii="Times New Roman" w:hAnsi="Times New Roman" w:eastAsia="Arial Unicode MS"/>
          <w:b w:val="0"/>
          <w:color w:val="1F2937"/>
          <w:sz w:val="21"/>
        </w:rPr>
        <w:t>，性别：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，国籍：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，证件类型及号码：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，联系电话：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，联系地址：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双方拟自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起在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[地区]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共同生活。双方确认截至签署日均无配偶，并在平等、自愿、充分披露基础上，就同居期间财产、债务、费用、子女和终止安排约定如下。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第一条 同居关系性质与个人自由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本协议记录共同生活中的经济和事务安排，不构成结婚登记，不当然产生夫妻身份、夫妻法定扶养义务或配偶法定继承权。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任何一方均可依法决定继续或终止同居；不得以罚款、财产没收、限制居住/就业/交往等方式控制人身自由。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双方不得实施家暴、胁迫、跟踪、非法查看设备、公开私密信息或其他侵害人格、隐私和安全的行为。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第二条 婚姻状态、能力与披露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双方无配偶状态的依据为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[声明/离婚证/生效文书/其他材料]</w:t>
      </w:r>
      <w:r>
        <w:rPr>
          <w:rFonts w:ascii="Times New Roman" w:hAnsi="Times New Roman" w:eastAsia="Arial Unicode MS"/>
          <w:b w:val="0"/>
          <w:color w:val="1F2937"/>
          <w:sz w:val="21"/>
        </w:rPr>
        <w:t>。婚姻状态不实、离婚未完成或签署能力存疑时，立即停止普通模板并转专项分析。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甲方个人财产债务见附件一，乙方见附件二，计划共同取得或承担事项见附件三；基准日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[日期]</w:t>
      </w:r>
      <w:r>
        <w:rPr>
          <w:rFonts w:ascii="Times New Roman" w:hAnsi="Times New Roman" w:eastAsia="Arial Unicode MS"/>
          <w:b w:val="0"/>
          <w:color w:val="1F2937"/>
          <w:sz w:val="21"/>
        </w:rPr>
        <w:t>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[待确认]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不因签署视为核验。重大新增资产、债务、担保或婚姻状态变化，在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[5]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个工作日内通知并更新记录。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第三条 同居前个人财产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附件一财产归甲方，附件二财产归乙方；带入共同住所或共同使用不当然改变权属。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原物的可追踪出售款、置换物、补偿和保险赔付原则上按原归属；共同出资、混同、改造或还贷部分按证据和本协议处理。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第四条 同居期间所得与共同财产（只保留一个变体）</w:t>
      </w:r>
    </w:p>
    <w:p>
      <w:pPr>
        <w:pStyle w:val="Heading3"/>
      </w:pPr>
      <w:r>
        <w:rPr>
          <w:rFonts w:ascii="Times New Roman" w:hAnsi="Times New Roman" w:eastAsia="Arial Unicode MS"/>
          <w:b/>
          <w:color w:val="1F2937"/>
          <w:sz w:val="22"/>
        </w:rPr>
        <w:t>变体 A：各自所得各自所有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各自工资、奖金、劳务、经营投资、知识产权收益及继承受赠财产归取得方；共同出资项目按附件四约定份额共有。</w:t>
      </w:r>
    </w:p>
    <w:p>
      <w:pPr>
        <w:pStyle w:val="Heading3"/>
      </w:pPr>
      <w:r>
        <w:rPr>
          <w:rFonts w:ascii="Times New Roman" w:hAnsi="Times New Roman" w:eastAsia="Arial Unicode MS"/>
          <w:b/>
          <w:color w:val="1F2937"/>
          <w:sz w:val="22"/>
        </w:rPr>
        <w:t>变体 B：指定项目共同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>仅附件四列明的账户、房屋、车辆、投资、经营或物品为共同财产；其他各自所得归各自。</w:t>
      </w:r>
    </w:p>
    <w:p>
      <w:pPr>
        <w:pStyle w:val="Heading3"/>
      </w:pPr>
      <w:r>
        <w:rPr>
          <w:rFonts w:ascii="Times New Roman" w:hAnsi="Times New Roman" w:eastAsia="Arial Unicode MS"/>
          <w:b/>
          <w:color w:val="1F2937"/>
          <w:sz w:val="22"/>
        </w:rPr>
        <w:t>变体 C：比例混合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双方将每月税后收入的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[比例/金额]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形成共同资金；共同资金购置财产按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[比例]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共有，其余归各自。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每项共同财产须记录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asset_id / 出资 / 登记 / 份额 / 控制 / 处分 / 估值 / 退出</w:t>
      </w:r>
      <w:r>
        <w:rPr>
          <w:rFonts w:ascii="Times New Roman" w:hAnsi="Times New Roman" w:eastAsia="Arial Unicode MS"/>
          <w:b w:val="0"/>
          <w:color w:val="1F2937"/>
          <w:sz w:val="21"/>
        </w:rPr>
        <w:t>。约定不明时，现行裁判规则可能以出资比例为基础，并综合共同生活、共同子女及贡献等事实处理。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第五条 房屋、车辆、父母出资与重大财产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共同住所为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[租赁/一方所有/共同购买/其他]</w:t>
      </w:r>
      <w:r>
        <w:rPr>
          <w:rFonts w:ascii="Times New Roman" w:hAnsi="Times New Roman" w:eastAsia="Arial Unicode MS"/>
          <w:b w:val="0"/>
          <w:color w:val="1F2937"/>
          <w:sz w:val="21"/>
        </w:rPr>
        <w:t>；房租、贷款、物业、维修和装修见附件五。一方所有住房供共同居住不当然改变权属。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共同购房/车辆明确登记人、首付、贷款、出资比例、使用、处分、退出、折价、税费和机构要求；协议不当然改变登记或贷款责任。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父母出资另行确认赠与/借款、受益对象、金额、返还条件和凭证；父母非本协议当事人时，不以本协议使其承担义务。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第六条 数字账号、自媒体与共同经营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数字平台账号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[平台、名称、ID掩码]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的实名主体为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，资金、劳动、内容、知识产权、客户数据、运营成本和净收益按附件六处理。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账号的控制、使用、交接、变现或处置不得违反平台规则、实名要求、知识产权、个人信息和消费者规则；平台不允许过户时，不承诺账号本身可以转让，只对可合法结算的收益、设备、内容权利和运营资料安排替代方案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公司股权、合伙或其他共同经营项目的登记主体、出资、劳动、利润、亏损、知识产权、客户、债务和退出见附件六；本协议不擅自使公司、合伙人或其他第三人承担义务。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第七条 生活开支、共同账户与照护贡献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日常生活费用采用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[各半/收入比例/分类/共同账户混合]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，具体项目和比例见附件七；单笔超过人民币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[金额]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元的非紧急支出须事前协商。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2. 共同账户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[掩码]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的注资、权限、对账、余额和停用规则见附件七；账户资金按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[存入比例/约定份额]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共有，不擅自转入个人高风险投资或为第三人担保。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家务、怀孕生育、子女照护、疾病照护或协助经营的贡献，可按已履行事实约定合理费用分担或结算。若约定补偿，必须写明事实基础、金额计算、到期和凭证；有偿结算不得仅靠“并非赠与”标签，实际无对价的给付仍须按赠与及相关规则核验，不概括放弃全部撤销权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第八条 债务与担保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各自既有债务见附件一、二。同居期间债务按合同、共同意思、用途和资金流逐项判断，不因同居当然共同承担。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拟共同承担债务见附件八，列明债权人、名义债务人、内部比例、担保、付款来源和结清文件。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内部承担不当然对抗未同意债权人；未经授权不得以另一方名义借款、担保或处分其财产。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第九条 子女抚养（如适用）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子女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[ID、出生日期、健康、就学、特殊需要]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情况见附件九。非婚生子女享有与婚生子女同等的权利。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同居期间的照护、生活、教育、医疗和重大决定按附件九执行。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3. 同居终止后，直接抚养、抚养费、教育医疗、探望、交接、信息共享和变化机制见附件九；子女必要时依法请求增加抚养费的权利不因本协议被排除。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4. 父母不得处分子女自有财产，不得以放弃抚养费、探望或其他安排损害子女利益。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第十条 宠物、隐私与个人物品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宠物的所有、主要照护、费用、医疗和终止后安排见附件十，以所有权证据、实际照护和动物福利为重要因素。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证件、账户、病历、私密影像、通信和定位信息仅在必要范围处理；共同设备和账号的备份、权限撤销和依法删除见附件十。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第十一条 同居终止与结算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原则上提前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[天数]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日通知；存在家暴、安全或紧急风险时可立即离开，不受通知期限制。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搬离、临时居住、钥匙门禁、物品盘点、共同账户停用、合同终止和资料返还见附件十一。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共同财产按书面份额和证据分割；需估值时采用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[共同评估/市场证据/出售净额]</w:t>
      </w:r>
      <w:r>
        <w:rPr>
          <w:rFonts w:ascii="Times New Roman" w:hAnsi="Times New Roman" w:eastAsia="Arial Unicode MS"/>
          <w:b w:val="0"/>
          <w:color w:val="1F2937"/>
          <w:sz w:val="21"/>
        </w:rPr>
        <w:t>。折价、分期、担保和逾期见附件十一。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4. 同居终止不消灭已经发生的付款、返还、债务、子女、保密和结算义务。本协议持续至结算义务完成，而非在分手当日整体失效。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第十二条 怀孕、疾病、死亡与配套文件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1. 怀孕、生育、重大疾病或失业时的费用和照护调整为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>，不限制依法作出的医疗和生育决定。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一方死亡时，本协议不当然赋予另一方配偶继承权。遗嘱、遗赠扶养协议、保险受益、医疗授权、养老服务等须另行办理并满足自身形式要求。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第十三条 生效、变更、责任与争议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本协议自双方签署之日起生效；依法需登记或第三人同意的事项，以完成程序为准。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2. 实质变更须书面签署。违约以继续履行、返还、可证明损失和合理费用为原则；违约金不得用于惩罚分手或限制人身自由。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 xml:space="preserve">3. 争议先协商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[15]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日；涉及安全、保全或子女紧急事项可立即依法申请；其他向有管辖权的人民法院处理。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第十四条 签署</w:t>
      </w:r>
    </w:p>
    <w:p>
      <w:r>
        <w:rPr>
          <w:rFonts w:ascii="Times New Roman" w:hAnsi="Times New Roman" w:eastAsia="Arial Unicode MS"/>
          <w:b w:val="0"/>
          <w:color w:val="1F2937"/>
          <w:sz w:val="21"/>
        </w:rPr>
        <w:t xml:space="preserve">双方确认已理解本协议不等同婚姻、内部安排与第三人效力的差异，并自愿签署。本协议一式 </w:t>
      </w:r>
      <w:r>
        <w:rPr>
          <w:rFonts w:ascii="Times New Roman" w:hAnsi="Times New Roman" w:eastAsia="Arial Unicode MS"/>
          <w:b/>
          <w:color w:val="005288"/>
          <w:sz w:val="21"/>
          <w:highlight w:val="darkGray"/>
        </w:rPr>
        <w:t>[●]</w:t>
      </w:r>
      <w:r>
        <w:rPr>
          <w:rFonts w:ascii="Times New Roman" w:hAnsi="Times New Roman" w:eastAsia="Arial Unicode MS"/>
          <w:b w:val="0"/>
          <w:color w:val="1F2937"/>
          <w:sz w:val="21"/>
        </w:rPr>
        <w:t xml:space="preserve"> 份。</w:t>
      </w:r>
    </w:p>
    <w:p>
      <w:pPr>
        <w:keepLines/>
        <w:spacing w:before="160"/>
      </w:pPr>
      <w:r>
        <w:rPr>
          <w:rFonts w:ascii="Times New Roman" w:hAnsi="Times New Roman" w:eastAsia="Arial Unicode MS"/>
          <w:b w:val="0"/>
          <w:color w:val="1F2937"/>
          <w:sz w:val="21"/>
        </w:rPr>
        <w:t>甲方签字及捺印：________  日期：________</w:t>
      </w:r>
    </w:p>
    <w:p>
      <w:pPr>
        <w:keepLines/>
        <w:spacing w:before="160"/>
      </w:pPr>
      <w:r>
        <w:rPr>
          <w:rFonts w:ascii="Times New Roman" w:hAnsi="Times New Roman" w:eastAsia="Arial Unicode MS"/>
          <w:b w:val="0"/>
          <w:color w:val="1F2937"/>
          <w:sz w:val="21"/>
        </w:rPr>
        <w:t>乙方签字及捺印：________  日期：________</w:t>
      </w:r>
    </w:p>
    <w:p>
      <w:pPr>
        <w:pStyle w:val="Heading2"/>
      </w:pPr>
      <w:r>
        <w:rPr>
          <w:rFonts w:ascii="Times New Roman" w:hAnsi="Times New Roman" w:eastAsia="Arial Unicode MS"/>
          <w:b/>
          <w:color w:val="1F3A5F"/>
          <w:sz w:val="25"/>
        </w:rPr>
        <w:t>附件</w:t>
      </w:r>
    </w:p>
    <w:p>
      <w:pPr>
        <w:ind w:left="420" w:hanging="420"/>
      </w:pPr>
      <w:r>
        <w:rPr>
          <w:rFonts w:ascii="Times New Roman" w:hAnsi="Times New Roman" w:eastAsia="Arial Unicode MS"/>
          <w:b w:val="0"/>
          <w:color w:val="1F2937"/>
          <w:sz w:val="21"/>
        </w:rPr>
        <w:t>1. 甲方财产债务；2. 乙方财产债务；3. 共同计划；4. 共同财产份额；5. 住房车辆父母出资；6. 数字账号与经营；7. 开销账户照护；8. 债务担保；9. 子女方案；10. 宠物隐私物品；11. 退出结算；12. 配套文件和履行路线。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Arial Unicode MS"/>
        <w:color w:val="596069"/>
        <w:sz w:val="18"/>
      </w:rPr>
      <w:t xml:space="preserve">第 </w:t>
    </w:r>
    <w:r>
      <w:rPr>
        <w:rFonts w:ascii="Times New Roman" w:hAnsi="Times New Roman" w:eastAsia="Arial Unicode MS"/>
        <w:color w:val="596069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Arial Unicode MS"/>
        <w:color w:val="596069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Times New Roman" w:hAnsi="Times New Roman" w:eastAsia="Arial Unicode MS"/>
        <w:color w:val="596069"/>
        <w:sz w:val="17"/>
      </w:rPr>
      <w:t>同居协议书｜空白通用工作稿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  <w:jc w:val="both"/>
    </w:pPr>
    <w:rPr>
      <w:rFonts w:ascii="Times New Roman" w:hAnsi="Times New Roman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Arial Unicode M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mplateNote">
    <w:name w:val="Template Note"/>
    <w:pPr>
      <w:spacing w:before="80" w:after="140" w:line="300" w:lineRule="auto"/>
      <w:ind w:left="198" w:right="113"/>
    </w:pPr>
    <w:rPr>
      <w:rFonts w:ascii="Times New Roman" w:hAnsi="Times New Roman" w:eastAsia="Arial Unicode MS"/>
      <w:color w:val="59606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同居协议书（中国大陆通用可配置模板）</dc:title>
  <dc:subject>中国大陆婚姻家事空白通用工作模板</dc:subject>
  <dc:creator>婚姻家事法律专家</dc:creator>
  <cp:keywords>draft, quick template, 中国大陆, 婚姻家事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