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60"/>
        <w:jc w:val="center"/>
      </w:pPr>
      <w:r>
        <w:rPr>
          <w:rFonts w:ascii="Times New Roman" w:hAnsi="Times New Roman" w:eastAsia="Arial Unicode MS"/>
          <w:b/>
          <w:color w:val="1F3A5F"/>
          <w:sz w:val="36"/>
        </w:rPr>
        <w:t>分家析产协议（无品牌通用可配置模板）</w:t>
      </w:r>
    </w:p>
    <w:p>
      <w:pPr>
        <w:spacing w:after="200"/>
        <w:jc w:val="center"/>
      </w:pPr>
      <w:r>
        <w:rPr>
          <w:rFonts w:ascii="Times New Roman" w:hAnsi="Times New Roman" w:eastAsia="Arial Unicode MS"/>
          <w:b/>
          <w:color w:val="596069"/>
          <w:sz w:val="19"/>
        </w:rPr>
        <w:t>状态：DRAFT｜空白通用工作稿｜签署前须完成个案核验与律师实质复核</w:t>
      </w:r>
    </w:p>
    <w:p>
      <w:pPr>
        <w:pStyle w:val="TemplateNote"/>
        <w:shd w:val="clear" w:fill="F3F5F8"/>
        <w:pBdr>
          <w:left w:val="single" w:sz="12" w:space="8" w:color="AAB4C3"/>
        </w:pBdr>
      </w:pPr>
      <w:r>
        <w:rPr>
          <w:rFonts w:ascii="Times New Roman" w:hAnsi="Times New Roman" w:eastAsia="Arial Unicode MS"/>
          <w:b w:val="0"/>
          <w:color w:val="596069"/>
          <w:sz w:val="19"/>
        </w:rPr>
        <w:t>使用说明：只有在家庭成员、共有权属、份额、处分权限和必要签约人已经查清时使用。涉及遗产、宅基地/农村房屋、承包地、拆迁补偿、未成年人、老人基本居住、抵押查封或债权人时必须专项核验。条件不足时仅输出权属与主体报告。</w:t>
      </w:r>
    </w:p>
    <w:p>
      <w:pPr>
        <w:keepNext/>
        <w:spacing w:before="200" w:after="160"/>
        <w:jc w:val="center"/>
      </w:pPr>
      <w:r>
        <w:rPr>
          <w:rFonts w:ascii="Times New Roman" w:hAnsi="Times New Roman" w:eastAsia="Arial Unicode MS"/>
          <w:b/>
          <w:color w:val="1F2937"/>
          <w:sz w:val="32"/>
        </w:rPr>
        <w:t>分家析产协议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甲方：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[姓名/身份/证件掩码]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乙方：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[姓名/身份/证件掩码]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丙方：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[按实际增列全部必要权利人]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以上合称“各方”。各方就附件所列家庭共有财产的权属、份额和分割，在真实自愿、充分披露、必要主体均参加且不损害第三人权益的基础上达成如下协议。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第一条 家庭关系与签约资格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1. 各方关系见附件一家庭关系图；婚姻、死亡、继承、代理及监护材料见附件二。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2. 每一签约人对本协议所处分财产的权利基础、份额或授权为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。代理人授权范围、期限和是否允许处分见附件二。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已死亡家庭成员的遗产、未成年人的财产、无/限制民事行为能力人的财产，不得仅凭其他家庭成员同意处分；所需继承、监护、法院或其他程序见附件三。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第二条 财产形成、权属与披露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财产形成基准日为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[日期]</w:t>
      </w:r>
      <w:r>
        <w:rPr>
          <w:rFonts w:ascii="Times New Roman" w:hAnsi="Times New Roman" w:eastAsia="Arial Unicode MS"/>
          <w:b w:val="0"/>
          <w:color w:val="1F2937"/>
          <w:sz w:val="21"/>
        </w:rPr>
        <w:t>。各项财产的取得时间、登记、出资、劳动贡献、继承赠与、父母出资、婚姻关系、控制、价值和负担见附件四。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各方确认附件四仅在证据支持范围内记载权属；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[争议/待确认]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项见附件五，不因签署自动变为确定事实。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抵押、查封、租赁、共有人配偶、债权人、税费、优先购买权或其他第三人权利见附件六。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第三条 分割原则与现有份额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各方以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[现有份额/协商调整份额/实物贡献和资金证据]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为基础分割，具体如下：甲方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[●]%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，乙方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[●]%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，丙方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[●]%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；总计必须为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100%</w:t>
      </w:r>
      <w:r>
        <w:rPr>
          <w:rFonts w:ascii="Times New Roman" w:hAnsi="Times New Roman" w:eastAsia="Arial Unicode MS"/>
          <w:b w:val="0"/>
          <w:color w:val="1F2937"/>
          <w:sz w:val="21"/>
        </w:rPr>
        <w:t>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2. 协商调整与现有法定/约定份额不一致的，原因、对价、赠与/补偿性质、税费和第三人影响为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本协议不以家庭称谓、户籍或居住事实当然认定所有权；农村集体权益还须满足现行专项规则。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第四条 分割方案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逐项使用以下格式，不得仅写“财产归某方”：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财产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[asset_id/名称]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当前登记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、权利基础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、价值基准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，分割后归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[取得方]</w:t>
      </w:r>
      <w:r>
        <w:rPr>
          <w:rFonts w:ascii="Times New Roman" w:hAnsi="Times New Roman" w:eastAsia="Arial Unicode MS"/>
          <w:b w:val="0"/>
          <w:color w:val="1F2937"/>
          <w:sz w:val="21"/>
        </w:rPr>
        <w:t>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2.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[取得方]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向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[其他方]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支付折价/补偿人民币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[金额]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元，于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[日期/条件]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通过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[方式]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支付；分期、担保、凭证和提前到期见附件七。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3. 实物交付日期、地点、清单、现状确认和风险转移为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4. 需要登记、审批、集体组织/共有人/配偶/债权人同意的，由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[责任方]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于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[期限]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办理；对方收到完整合法材料后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[天数]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日内配合。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5. 无法办理时的替代方案依次为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[延期并担保/重新估值补偿/出售后分配净额/恢复原状/其他]</w:t>
      </w:r>
      <w:r>
        <w:rPr>
          <w:rFonts w:ascii="Times New Roman" w:hAnsi="Times New Roman" w:eastAsia="Arial Unicode MS"/>
          <w:b w:val="0"/>
          <w:color w:val="1F2937"/>
          <w:sz w:val="21"/>
        </w:rPr>
        <w:t>，触发证据和期限见附件八。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第五条 不动产、农村权益与拆迁补偿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1. 不动产逐项列明坐落掩码、权证、土地/房屋性质、登记人、共有人、婚姻状态、抵押查封、租赁和实际居住。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宅基地、农村房屋、承包地、集体成员权益或拆迁补偿的资格、可处分范围和程序必须以具体地区现行规则及事实核验为准；本协议不得承诺当然过户或资格当然转移。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征收拆迁尚未确定时，按补偿项目、资格、基准时点、人口/面积因素、安置房、过渡费和领取主体分别约定，不使用概括“全部补偿归某方”。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第六条 居住使用与老人保障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[老人/家庭成员]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对房屋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[asset_id]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的居住安排为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[期限/终身/条件]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，使用范围、费用、维修、不得擅自出租/处分及替代住房为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居住安排是否需登记、设立居住权或采用其他法律文件，由律师和登记机关核验；未完成程序前不得声称具有对抗第三人的效果。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赡养、医疗、照护和探望义务不因财产分割当然免除。财产给付与赡养安排如相互关联，应分别写明履行内容、变化机制和不可执行时处理，避免以财产控制老人自由。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第七条 债务、税费与第三人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1. 与分割财产相关债务、税费、物业费、维修费和担保见附件九。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2. 各方内部承担为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；未取得债权人同意的，不当然变更对外债务人或担保人。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3. 税费分配为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，具体金额以主管机关核定为准。任何估算须标记来源和日期。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4. 存在债权人撤销、查封、执行或无权处分风险时，本协议状态为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review_required</w:t>
      </w:r>
      <w:r>
        <w:rPr>
          <w:rFonts w:ascii="Times New Roman" w:hAnsi="Times New Roman" w:eastAsia="Arial Unicode MS"/>
          <w:b w:val="0"/>
          <w:color w:val="1F2937"/>
          <w:sz w:val="21"/>
        </w:rPr>
        <w:t>，完成专项处理前不得交付终稿。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第八条 文件、账户与交付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 xml:space="preserve">权证、合同、发票、钥匙、印章、账户资料、租赁押金、维修基金和其他材料由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[持有人]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于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[日期]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向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[接收人]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交付，清单与签收凭证见附件十。不得销毁与权属或债务争议有关的原始证据。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第九条 遗漏、保证与协助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1. 各方仅在其知悉和已披露范围内确认附件完整，不以“无其他财产”替代合理调查。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后续发现遗漏财产、必要权利人或第三人权利时，先暂停相关处分，核验权属后另行协商或依法处理。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各方保证不伪造身份、权属、债务或授权，不恶意损害未成年人、老人、继承人、配偶、共有人或债权人。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第十条 生效、条件与变更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本协议自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[全部必要主体签署/特定批准或公证完成]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之日起在各方之间生效；依法需登记、审批或第三人同意的外部效果以完成相应程序为准。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2. 生效条件包括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[列明]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；截止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[日期]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未满足时，按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[解除/延期/部分生效/恢复原状]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处理。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变更和补充须由受影响的全部必要主体书面签署；不得由部分成员修改他人权益。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第十一条 违约、通知与争议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拒绝配合、逾期支付或交付时，先书面催告并给予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[天数]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日补救期；可请求继续履行、返还、可证明损失和合理实现费用。违约金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可能依法调整。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通知方式见附件十一；安全或保全紧急事项可直接依法处理。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3. 争议先协商/调解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[15]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日，未解决的向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[有管辖权人民法院]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处理；遗产、农村权益或专属管辖事项须另行核验。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第十二条 签署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 xml:space="preserve">各方确认已经逐项阅读、理解权属与登记差异，获得独立咨询机会并自愿签署。本协议一式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[份数]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份。</w:t>
      </w:r>
    </w:p>
    <w:p>
      <w:pPr>
        <w:keepLines/>
        <w:spacing w:before="160"/>
      </w:pPr>
      <w:r>
        <w:rPr>
          <w:rFonts w:ascii="Times New Roman" w:hAnsi="Times New Roman" w:eastAsia="Arial Unicode MS"/>
          <w:b w:val="0"/>
          <w:color w:val="1F2937"/>
          <w:sz w:val="21"/>
        </w:rPr>
        <w:t>甲方签字：________ 日期：________</w:t>
      </w:r>
    </w:p>
    <w:p>
      <w:pPr>
        <w:keepLines/>
        <w:spacing w:before="160"/>
      </w:pPr>
      <w:r>
        <w:rPr>
          <w:rFonts w:ascii="Times New Roman" w:hAnsi="Times New Roman" w:eastAsia="Arial Unicode MS"/>
          <w:b w:val="0"/>
          <w:color w:val="1F2937"/>
          <w:sz w:val="21"/>
        </w:rPr>
        <w:t>乙方签字：________ 日期：________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丙方及其他必要主体：________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附件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1. 家庭关系图；2. 身份、婚姻、死亡、继承和授权；3. 特殊主体程序；4. 财产形成和权属表；5. 争议/待确认；6. 第三人和限制；7. 折价支付；8. 办理及替代；9. 债务税费；10. 文件交接；11. 通知与履行路线。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247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Arial Unicode MS"/>
        <w:color w:val="596069"/>
        <w:sz w:val="18"/>
      </w:rPr>
      <w:t xml:space="preserve">第 </w:t>
    </w:r>
    <w:r>
      <w:rPr>
        <w:rFonts w:ascii="Times New Roman" w:hAnsi="Times New Roman" w:eastAsia="Arial Unicode MS"/>
        <w:color w:val="596069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Arial Unicode MS"/>
        <w:color w:val="59606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Times New Roman" w:hAnsi="Times New Roman" w:eastAsia="Arial Unicode MS"/>
        <w:color w:val="596069"/>
        <w:sz w:val="17"/>
      </w:rPr>
      <w:t>分家析产协议｜空白通用工作稿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  <w:jc w:val="both"/>
    </w:pPr>
    <w:rPr>
      <w:rFonts w:ascii="Times New Roman" w:hAnsi="Times New Roman" w:eastAsia="Arial Unicode M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 w:eastAsia="Arial Unicode MS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Arial Unicode MS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Arial Unicode M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pPr>
      <w:spacing w:before="80" w:after="140" w:line="300" w:lineRule="auto"/>
      <w:ind w:left="198" w:right="113"/>
    </w:pPr>
    <w:rPr>
      <w:rFonts w:ascii="Times New Roman" w:hAnsi="Times New Roman" w:eastAsia="Arial Unicode MS"/>
      <w:color w:val="59606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分家析产协议（无品牌通用可配置模板）</dc:title>
  <dc:subject>中国大陆婚姻家事空白通用工作模板</dc:subject>
  <dc:creator>婚姻家事法律专家</dc:creator>
  <cp:keywords>draft, quick template, 中国大陆, 婚姻家事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