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160"/>
        <w:jc w:val="center"/>
      </w:pPr>
      <w:r>
        <w:rPr>
          <w:rFonts w:ascii="Times New Roman" w:hAnsi="Times New Roman" w:eastAsia="Arial Unicode MS"/>
          <w:b/>
          <w:color w:val="1F3A5F"/>
          <w:sz w:val="36"/>
        </w:rPr>
        <w:t>婚前财产约定书（中国大陆通用可配置模板）</w:t>
      </w:r>
    </w:p>
    <w:p>
      <w:pPr>
        <w:spacing w:after="200"/>
        <w:jc w:val="center"/>
      </w:pPr>
      <w:r>
        <w:rPr>
          <w:rFonts w:ascii="Times New Roman" w:hAnsi="Times New Roman" w:eastAsia="Arial Unicode MS"/>
          <w:b/>
          <w:color w:val="596069"/>
          <w:sz w:val="19"/>
        </w:rPr>
        <w:t>状态：DRAFT｜空白通用工作稿｜签署前须完成个案核验与律师实质复核</w:t>
      </w:r>
    </w:p>
    <w:p>
      <w:pPr>
        <w:pStyle w:val="TemplateNote"/>
        <w:shd w:val="clear" w:fill="F3F5F8"/>
        <w:pBdr>
          <w:left w:val="single" w:sz="12" w:space="8" w:color="AAB4C3"/>
        </w:pBdr>
      </w:pPr>
      <w:r>
        <w:rPr>
          <w:rFonts w:ascii="Times New Roman" w:hAnsi="Times New Roman" w:eastAsia="Arial Unicode MS"/>
          <w:b w:val="0"/>
          <w:color w:val="596069"/>
          <w:sz w:val="19"/>
        </w:rPr>
        <w:t>使用说明：本模板以用户提供范本的“身份—特定资产—继承赠与—债务—其他—签署”结构为主，整合完整披露、第三人、登记、共同账户和变化机制。必须逐项使用资产、债务附件；只保留双方确认的变体。涉及房屋转移、父母出资、股权、贷款、债权人或税费时，须另行核验现行法及办理要求。</w:t>
      </w:r>
    </w:p>
    <w:p>
      <w:pPr>
        <w:pStyle w:val="TemplateNote"/>
        <w:shd w:val="clear" w:fill="F3F5F8"/>
        <w:pBdr>
          <w:left w:val="single" w:sz="12" w:space="8" w:color="AAB4C3"/>
        </w:pBdr>
      </w:pPr>
      <w:r>
        <w:rPr>
          <w:rFonts w:ascii="Times New Roman" w:hAnsi="Times New Roman" w:eastAsia="Arial Unicode MS"/>
          <w:b w:val="0"/>
          <w:color w:val="596069"/>
          <w:sz w:val="19"/>
        </w:rPr>
        <w:t>不得写入：限制结婚/离婚或人身自由、忠诚惩罚或“净身出户”、以账户/登记名义替代财产性质分析、把未经对方同意的债务一概写成对外个人债务、承诺签字即完成物权/股权/贷款变更。</w:t>
      </w:r>
    </w:p>
    <w:p>
      <w:pPr>
        <w:keepNext/>
        <w:spacing w:before="200" w:after="160"/>
        <w:jc w:val="center"/>
      </w:pPr>
      <w:r>
        <w:rPr>
          <w:rFonts w:ascii="Times New Roman" w:hAnsi="Times New Roman" w:eastAsia="Arial Unicode MS"/>
          <w:b/>
          <w:color w:val="1F2937"/>
          <w:sz w:val="32"/>
        </w:rPr>
        <w:t>婚前财产约定书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>协议编号：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>签订地：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[省/自治区/直辖市][市][区/县]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>签订日期：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[年]年[月]月[日]日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>甲方：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[姓名]</w:t>
      </w:r>
      <w:r>
        <w:rPr>
          <w:rFonts w:ascii="Times New Roman" w:hAnsi="Times New Roman" w:eastAsia="Arial Unicode MS"/>
          <w:b w:val="0"/>
          <w:color w:val="1F2937"/>
          <w:sz w:val="21"/>
        </w:rPr>
        <w:t>，性别：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>，国籍：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>，证件类型及号码：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[掩码]</w:t>
      </w:r>
      <w:r>
        <w:rPr>
          <w:rFonts w:ascii="Times New Roman" w:hAnsi="Times New Roman" w:eastAsia="Arial Unicode MS"/>
          <w:b w:val="0"/>
          <w:color w:val="1F2937"/>
          <w:sz w:val="21"/>
        </w:rPr>
        <w:t>，联系电话：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[掩码]</w:t>
      </w:r>
      <w:r>
        <w:rPr>
          <w:rFonts w:ascii="Times New Roman" w:hAnsi="Times New Roman" w:eastAsia="Arial Unicode MS"/>
          <w:b w:val="0"/>
          <w:color w:val="1F2937"/>
          <w:sz w:val="21"/>
        </w:rPr>
        <w:t>，联系地址：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[掩码]</w:t>
      </w:r>
      <w:r>
        <w:rPr>
          <w:rFonts w:ascii="Times New Roman" w:hAnsi="Times New Roman" w:eastAsia="Arial Unicode MS"/>
          <w:b w:val="0"/>
          <w:color w:val="1F2937"/>
          <w:sz w:val="21"/>
        </w:rPr>
        <w:t>。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>乙方：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[姓名]</w:t>
      </w:r>
      <w:r>
        <w:rPr>
          <w:rFonts w:ascii="Times New Roman" w:hAnsi="Times New Roman" w:eastAsia="Arial Unicode MS"/>
          <w:b w:val="0"/>
          <w:color w:val="1F2937"/>
          <w:sz w:val="21"/>
        </w:rPr>
        <w:t>，性别：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>，国籍：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>，证件类型及号码：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[掩码]</w:t>
      </w:r>
      <w:r>
        <w:rPr>
          <w:rFonts w:ascii="Times New Roman" w:hAnsi="Times New Roman" w:eastAsia="Arial Unicode MS"/>
          <w:b w:val="0"/>
          <w:color w:val="1F2937"/>
          <w:sz w:val="21"/>
        </w:rPr>
        <w:t>，联系电话：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[掩码]</w:t>
      </w:r>
      <w:r>
        <w:rPr>
          <w:rFonts w:ascii="Times New Roman" w:hAnsi="Times New Roman" w:eastAsia="Arial Unicode MS"/>
          <w:b w:val="0"/>
          <w:color w:val="1F2937"/>
          <w:sz w:val="21"/>
        </w:rPr>
        <w:t>，联系地址：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[掩码]</w:t>
      </w:r>
      <w:r>
        <w:rPr>
          <w:rFonts w:ascii="Times New Roman" w:hAnsi="Times New Roman" w:eastAsia="Arial Unicode MS"/>
          <w:b w:val="0"/>
          <w:color w:val="1F2937"/>
          <w:sz w:val="21"/>
        </w:rPr>
        <w:t>。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 xml:space="preserve">双方拟于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[预计日期]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在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[登记机关/地区]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办理结婚登记。双方依据《中华人民共和国民法典》第一千零六十五条，在充分披露、平等协商、真实自愿并获得独立审阅机会的基础上，对婚前财产、婚后所得及债务作如下书面约定。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第一条 目的、适用与效力边界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1. 本协议用于明确财产和债务安排，不限制任何一方依法享有的结婚、离婚、人格、人身、劳动、医疗、生育和救济权利。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双方之间的财产约定、对外物权/股权效果、债务内部承担及对债权人的效力分别判断；本协议不当然免除或改变未同意第三人的权利义务。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3. 以婚姻关系为前提的财产制自双方依法登记结婚之日起适用；签署前后已经发生的赠与、转让、付款或交付，按其具体法律性质、条件和证据处理。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第二条 完整披露与基准日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核对基准日为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[日期]</w:t>
      </w:r>
      <w:r>
        <w:rPr>
          <w:rFonts w:ascii="Times New Roman" w:hAnsi="Times New Roman" w:eastAsia="Arial Unicode MS"/>
          <w:b w:val="0"/>
          <w:color w:val="1F2937"/>
          <w:sz w:val="21"/>
        </w:rPr>
        <w:t>。甲方财产债务见附件一，乙方见附件二，共同计划和已知共同义务见附件三。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每项资产载明取得、登记、出资、价值、负担、收益、共有人、第三人权利和拟约定性质；每项债务载明债权人、合同、金额、用途、资金流、担保和对外状态。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3.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[待确认]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、估值缺失和权属争议不因签署视为已核验。一方发现重大遗漏或错误，应在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[5]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个工作日内书面更正；故意隐瞒、伪造或利用协议逃债的，依法处理。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第三条 公司股权、合伙份额与经营权益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[主体名称、统一社会信用代码、asset_id]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的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[比例]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股权/合伙份额为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[甲/乙]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方婚前财产；婚后分红、增值、转让收益、未分配利润、追加出资及债务按附件四明确的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[个人/共同/比例混合]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处理。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财产价值归属不当然改变股东、合伙人或经营管理资格；涉及章程、股东/合伙人权利、员工激励、代持、质押、融资或登记的，依附件四完成相应程序。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第四条 房屋、车位及相关收益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房屋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[asset_id、掩码坐落、权证/合同号、登记人]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系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[甲/乙]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方于婚前以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[全款/首付+贷款/其他]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取得；房屋本体、婚前已形成权益及剩余贷款的约定见附件五。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婚后共同还贷、装修、税费、租金、出售款、征收补偿、保险赔付、置换物和可追踪替代物分别按附件五处理，不以单一账户名义当然推定。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3. 车位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[asset_id]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的真实权利性质为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[所有权/使用权/租赁或合同权益]</w:t>
      </w:r>
      <w:r>
        <w:rPr>
          <w:rFonts w:ascii="Times New Roman" w:hAnsi="Times New Roman" w:eastAsia="Arial Unicode MS"/>
          <w:b w:val="0"/>
          <w:color w:val="1F2937"/>
          <w:sz w:val="21"/>
        </w:rPr>
        <w:t>，归属、转让限制和费用见附件五。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4. 拟加名、去名、赠与或转移房屋的，须明确这是财产制约定、赠与还是有偿转让，并列明给予目的、对价、登记期限、贷款机构要求和失败替代。签署不等于登记已经变更；发生争议时，裁判可能结合给予目的、共同生活、子女、家庭贡献、过错和房屋价值等具体事实处理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第五条 车辆、金融资产与保险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车辆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[asset_id、车牌/VIN掩码]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的归属、贷款、婚后还款、保险、处分收益和替代物见附件六。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2. 证券、基金、银行存款、理财、支付账户等本金及婚后收益，按附件六逐项选择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[个人/共同/比例混合]</w:t>
      </w:r>
      <w:r>
        <w:rPr>
          <w:rFonts w:ascii="Times New Roman" w:hAnsi="Times New Roman" w:eastAsia="Arial Unicode MS"/>
          <w:b w:val="0"/>
          <w:color w:val="1F2937"/>
          <w:sz w:val="21"/>
        </w:rPr>
        <w:t>；自然增值、孳息和投资经营收益须分别说明。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3. 保险合同的投保人、被保险人、受益人、现金价值和变更方式见附件六；本协议不代替保险机构手续。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第六条 婚后所得财产制（只保留一个变体）</w:t>
      </w:r>
    </w:p>
    <w:p>
      <w:pPr>
        <w:pStyle w:val="Heading3"/>
      </w:pPr>
      <w:r>
        <w:rPr>
          <w:rFonts w:ascii="Times New Roman" w:hAnsi="Times New Roman" w:eastAsia="Arial Unicode MS"/>
          <w:b/>
          <w:color w:val="1F2937"/>
          <w:sz w:val="22"/>
        </w:rPr>
        <w:t>变体 A：原则上各自所有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>婚后各自工资、奖金、劳务报酬、经营投资和知识产权收益原则上归取得方；明确投入共同账户或书面确认共同购买的除外。</w:t>
      </w:r>
    </w:p>
    <w:p>
      <w:pPr>
        <w:pStyle w:val="Heading3"/>
      </w:pPr>
      <w:r>
        <w:rPr>
          <w:rFonts w:ascii="Times New Roman" w:hAnsi="Times New Roman" w:eastAsia="Arial Unicode MS"/>
          <w:b/>
          <w:color w:val="1F2937"/>
          <w:sz w:val="22"/>
        </w:rPr>
        <w:t>变体 B：原则上共同所有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>婚后所得原则上共同所有，但法律规定或本协议附件明确为个人财产的除外；重大处分按第十条办理。</w:t>
      </w:r>
    </w:p>
    <w:p>
      <w:pPr>
        <w:pStyle w:val="Heading3"/>
      </w:pPr>
      <w:r>
        <w:rPr>
          <w:rFonts w:ascii="Times New Roman" w:hAnsi="Times New Roman" w:eastAsia="Arial Unicode MS"/>
          <w:b/>
          <w:color w:val="1F2937"/>
          <w:sz w:val="22"/>
        </w:rPr>
        <w:t>变体 C：分类或比例混合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 xml:space="preserve">工资奖金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；经营投资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；知识产权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；住房公积金/养老金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；婚前财产收益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；其他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。双方每月向共同账户注入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[金额/比例]</w:t>
      </w:r>
      <w:r>
        <w:rPr>
          <w:rFonts w:ascii="Times New Roman" w:hAnsi="Times New Roman" w:eastAsia="Arial Unicode MS"/>
          <w:b w:val="0"/>
          <w:color w:val="1F2937"/>
          <w:sz w:val="21"/>
        </w:rPr>
        <w:t>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第七条 继承、赠与与父母出资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双方对婚后继承、受赠财产及其收益选择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[各自所有/共同所有/分类混合]</w:t>
      </w:r>
      <w:r>
        <w:rPr>
          <w:rFonts w:ascii="Times New Roman" w:hAnsi="Times New Roman" w:eastAsia="Arial Unicode MS"/>
          <w:b w:val="0"/>
          <w:color w:val="1F2937"/>
          <w:sz w:val="21"/>
        </w:rPr>
        <w:t>，具体见附件七；遗嘱、赠与合同及转账说明对受益对象有明确表示的，应一并核验。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父母为购房、装修、还贷或经营出资时，应另行确认赠与/借款、受益对象、金额、时间、返还条件和凭证。未明确的不得由本协议臆断；父母不是本协议当事人时，不擅自使其承担义务。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3. 一方依法决定接受或放弃继承的权利不因本协议被预先剥夺；涉及法定扶养义务或第三人利益时专项复核。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第八条 债务与担保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1. 婚前债务见附件一、二；双方内部原则上由实际负债方承担，但债权人能够证明债务用于婚后家庭共同生活等情形的，对外责任依法另行判断。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婚后债务是否属于夫妻共同债务，依法结合共同签名/追认、家庭日常生活需要、共同生活/生产经营用途、资金流和债权人举证判断。不得把“未经另一方同意”写成一概对外免责。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3. 内部承担规则：个人事项债务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；家庭共同生活/共同经营债务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；借款、担保或动用共同财产达到人民币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[金额]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元时采用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[通知/书面同意]</w:t>
      </w:r>
      <w:r>
        <w:rPr>
          <w:rFonts w:ascii="Times New Roman" w:hAnsi="Times New Roman" w:eastAsia="Arial Unicode MS"/>
          <w:b w:val="0"/>
          <w:color w:val="1F2937"/>
          <w:sz w:val="21"/>
        </w:rPr>
        <w:t>。除相对人知道夫妻财产约定等法定情形外，不对抗第三人。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第九条 家庭开销、共同账户与照护贡献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家庭开销采用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[固定额/收入比例/分类/混合]</w:t>
      </w:r>
      <w:r>
        <w:rPr>
          <w:rFonts w:ascii="Times New Roman" w:hAnsi="Times New Roman" w:eastAsia="Arial Unicode MS"/>
          <w:b w:val="0"/>
          <w:color w:val="1F2937"/>
          <w:sz w:val="21"/>
        </w:rPr>
        <w:t>，普通、重大和紧急支出范围及阈值见附件八。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共同账户的注资、权限、对账、余额、停用和异常支出规则见附件八。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3. 双方承认家务、育儿、老人照护及协助经营等非货币贡献；不强制人身劳务，不机械定价情感。收入、生育、失业、疾病、迁居或照护责任重大变化时，在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[30]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日内复审。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第十条 处分、登记、变化与配套文件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单项或累计达到人民币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[金额]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元的共同资产处分、担保、关联交易或重大投资，按附件九取得书面同意；紧急事项例外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>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2. 不动产、车辆、股权、贷款、保险等需要登记、审批或第三人同意的，由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[责任方]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在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[期限]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办理；不能办理时采用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[折价/担保/出售清偿/其他]</w:t>
      </w:r>
      <w:r>
        <w:rPr>
          <w:rFonts w:ascii="Times New Roman" w:hAnsi="Times New Roman" w:eastAsia="Arial Unicode MS"/>
          <w:b w:val="0"/>
          <w:color w:val="1F2937"/>
          <w:sz w:val="21"/>
        </w:rPr>
        <w:t>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3. 遗嘱、赠与合同、父母出资确认、公司章程/股东协议、保险受益和贷款文件分别审查，不用本协议擅自修改未签约主体文件。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4. 新增重大资产债务、处分房屋股权、重大继承赠与或家庭结构变化时更新附件；实质变更须双方书面签署。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第十一条 未登记结婚、变更与争议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双方未在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[长期截止日期]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前登记结婚的，以婚姻为前提的条款不再适用；既有财产往来按附件十和实际证据结算。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个别条款无效或不可执行，不当然影响其他条款；影响核心安排时重新协商。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3. 争议先协商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[15]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日；未解决的向有管辖权的人民法院处理。仲裁选项仅在经核验属于可仲裁财产争议时使用。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第十二条 确认与签署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 xml:space="preserve">双方确认已完整阅读，理解财产约定的对内/对外差异、登记和税务不确定性，签署真实自愿。本协议一式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份。</w:t>
      </w:r>
    </w:p>
    <w:p>
      <w:pPr>
        <w:keepLines/>
        <w:spacing w:before="160"/>
      </w:pPr>
      <w:r>
        <w:rPr>
          <w:rFonts w:ascii="Times New Roman" w:hAnsi="Times New Roman" w:eastAsia="Arial Unicode MS"/>
          <w:b w:val="0"/>
          <w:color w:val="1F2937"/>
          <w:sz w:val="21"/>
        </w:rPr>
        <w:t>甲方签字及捺印：________  日期：________</w:t>
      </w:r>
    </w:p>
    <w:p>
      <w:pPr>
        <w:keepLines/>
        <w:spacing w:before="160"/>
      </w:pPr>
      <w:r>
        <w:rPr>
          <w:rFonts w:ascii="Times New Roman" w:hAnsi="Times New Roman" w:eastAsia="Arial Unicode MS"/>
          <w:b w:val="0"/>
          <w:color w:val="1F2937"/>
          <w:sz w:val="21"/>
        </w:rPr>
        <w:t>乙方签字及捺印：________  日期：________</w:t>
      </w:r>
    </w:p>
    <w:p>
      <w:pPr>
        <w:keepLines/>
        <w:spacing w:before="160"/>
      </w:pPr>
      <w:r>
        <w:rPr>
          <w:rFonts w:ascii="Times New Roman" w:hAnsi="Times New Roman" w:eastAsia="Arial Unicode MS"/>
          <w:b w:val="0"/>
          <w:color w:val="1F2937"/>
          <w:sz w:val="21"/>
        </w:rPr>
        <w:t>见证/律师记录（按需）：________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附件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1. 甲方财产债务；2. 乙方财产债务；3. 共同计划与义务；4. 股权经营；5. 房屋车位贷款；6. 车辆金融保险；7. 继承赠与和父母出资；8. 开销账户与照护；9. 登记处分和履行；10. 未结婚时结算及通知。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247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Arial Unicode MS"/>
        <w:color w:val="596069"/>
        <w:sz w:val="18"/>
      </w:rPr>
      <w:t xml:space="preserve">第 </w:t>
    </w:r>
    <w:r>
      <w:rPr>
        <w:rFonts w:ascii="Times New Roman" w:hAnsi="Times New Roman" w:eastAsia="Arial Unicode MS"/>
        <w:color w:val="596069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Arial Unicode MS"/>
        <w:color w:val="59606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Times New Roman" w:hAnsi="Times New Roman" w:eastAsia="Arial Unicode MS"/>
        <w:color w:val="596069"/>
        <w:sz w:val="17"/>
      </w:rPr>
      <w:t>婚前财产约定书｜空白通用工作稿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  <w:jc w:val="both"/>
    </w:pPr>
    <w:rPr>
      <w:rFonts w:ascii="Times New Roman" w:hAnsi="Times New Roman" w:eastAsia="Arial Unicode M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imes New Roman" w:hAnsi="Times New Roman" w:eastAsia="Arial Unicode MS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Arial Unicode MS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Arial Unicode M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Note">
    <w:name w:val="Template Note"/>
    <w:pPr>
      <w:spacing w:before="80" w:after="140" w:line="300" w:lineRule="auto"/>
      <w:ind w:left="198" w:right="113"/>
    </w:pPr>
    <w:rPr>
      <w:rFonts w:ascii="Times New Roman" w:hAnsi="Times New Roman" w:eastAsia="Arial Unicode MS"/>
      <w:color w:val="59606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婚前财产约定书（中国大陆通用可配置模板）</dc:title>
  <dc:subject>中国大陆婚姻家事空白通用工作模板</dc:subject>
  <dc:creator>婚姻家事法律专家</dc:creator>
  <cp:keywords>draft, quick template, 中国大陆, 婚姻家事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