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A1A18"/>
          <w:sz w:val="56"/>
          <w:szCs w:val="56"/>
        </w:rPr>
        <w:t xml:space="preserve">InsightHub Data</w:t>
      </w:r>
    </w:p>
    <w:p>
      <w:pPr>
        <w:spacing w:after="0" w:before="160"/>
        <w:jc w:val="center"/>
      </w:pPr>
      <w:r>
        <w:rPr>
          <w:b/>
          <w:bCs/>
          <w:color w:val="1D9E75"/>
          <w:sz w:val="30"/>
          <w:szCs w:val="30"/>
        </w:rPr>
        <w:t xml:space="preserve">综合型 AI 数据能力平台</w:t>
      </w:r>
    </w:p>
    <w:p>
      <w:pPr>
        <w:spacing w:after="0" w:before="400"/>
        <w:jc w:val="center"/>
      </w:pPr>
      <w:r>
        <w:rPr>
          <w:color w:val="5F5E5A"/>
          <w:sz w:val="24"/>
          <w:szCs w:val="24"/>
        </w:rPr>
        <w:t xml:space="preserve">产品需求文档（PRD）</w:t>
      </w:r>
    </w:p>
    <w:p>
      <w:pPr>
        <w:spacing w:after="0" w:before="1600"/>
        <w:jc w:val="center"/>
      </w:pPr>
      <w:r>
        <w:rPr>
          <w:color w:val="5F5E5A"/>
          <w:sz w:val="20"/>
          <w:szCs w:val="20"/>
        </w:rPr>
        <w:t xml:space="preserve">版本 v1.0 · MVP 原型阶段</w:t>
      </w:r>
    </w:p>
    <w:p>
      <w:pPr>
        <w:spacing w:after="0" w:before="80"/>
        <w:jc w:val="center"/>
      </w:pPr>
      <w:r>
        <w:rPr>
          <w:color w:val="5F5E5A"/>
          <w:sz w:val="18"/>
          <w:szCs w:val="18"/>
        </w:rPr>
        <w:t xml:space="preserve">文档状态：基于交互原型整理 · 供研发与设计团队评审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一、产品概述</w:t>
      </w:r>
    </w:p>
    <w:p>
      <w:pPr>
        <w:pStyle w:val="Heading2"/>
      </w:pPr>
      <w:r>
        <w:t xml:space="preserve">1.1 产品定位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InsightHub Data 是一个面向个人、创业者、企业和垂直行业的 AI 数据 API / MCP / 情报分析平台。平台采用「母平台 + 多数据产品包」的结构，逐步上架不同的数据能力包，区别于传统数据接口市场的核心在于：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一句话定位</w:t>
            </w:r>
          </w:p>
          <w:p>
            <w:r>
              <w:rPr>
                <w:color w:val="1A1A18"/>
                <w:sz w:val="20"/>
                <w:szCs w:val="20"/>
              </w:rPr>
              <w:t xml:space="preserve">数据 + API + MCP + AI 报告 + 场景化看板 + 订阅制 —— 卖的不是零散接口，而是「能直接帮用户做判断的数据能力」。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首页文案方向：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为创业者、企业和 AI Agent 提供可调用、可分析、可订阅的数据能力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把公开数据、行业数据和企业数据，变成 API、MCP 工具和 AI 商业情报报告</w:t>
      </w:r>
    </w:p>
    <w:p>
      <w:pPr>
        <w:pStyle w:val="Heading2"/>
      </w:pPr>
      <w:r>
        <w:t xml:space="preserve">1.2 核心差异化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大部分公开数据和第三方数据是行业公开可获取的，因此平台的壁垒不在数据本身，而在以下 7 项能力：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数据清洗能力 — 统一字段、格式、时间、实体口径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数据组合能力 — 单一数据不值钱，跨维度组合才构成判断依据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AI 报告能力 — 用户要的是结论，不是原始数据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MCP 能力 — 让用户在 Claude / Cursor / Cline 等 AI 工具中直接调用数据，而非局限于网页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场景模板能力 — 同样数据，给创业者、企业、投资人看的呈现方式完全不同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监控提醒能力 — 一次性查询价值有限，持续监控才适合订阅制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数据可信度体系 — 每条数据标注来源、时间、更新频率、是否公开授权，建立企业信任</w:t>
      </w:r>
    </w:p>
    <w:p>
      <w:pPr>
        <w:pStyle w:val="Heading2"/>
      </w:pPr>
      <w:r>
        <w:t xml:space="preserve">1.3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用户类型</w:t>
            </w:r>
          </w:p>
        </w:tc>
        <w:tc>
          <w:tcPr>
            <w:tcW w:type="dxa" w:w="3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核心需求</w:t>
            </w:r>
          </w:p>
        </w:tc>
        <w:tc>
          <w:tcPr>
            <w:tcW w:type="dxa" w:w="34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典型场景</w:t>
            </w:r>
          </w:p>
        </w:tc>
      </w:tr>
      <w:tr>
        <w:tc>
          <w:tcPr>
            <w:tcW w:type="dxa" w:w="2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个人 / 内容创作者</w:t>
            </w:r>
          </w:p>
        </w:tc>
        <w:tc>
          <w:tcPr>
            <w:tcW w:type="dxa" w:w="3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查趋势、看机会</w:t>
            </w:r>
          </w:p>
        </w:tc>
        <w:tc>
          <w:tcPr>
            <w:tcW w:type="dxa" w:w="34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行业趋势查询、AI 工具对比、创业报告生成</w:t>
            </w:r>
          </w:p>
        </w:tc>
      </w:tr>
      <w:tr>
        <w:tc>
          <w:tcPr>
            <w:tcW w:type="dxa" w:w="2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创业者 / 独立开发者</w:t>
            </w:r>
          </w:p>
        </w:tc>
        <w:tc>
          <w:tcPr>
            <w:tcW w:type="dxa" w:w="3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评项目、找竞品</w:t>
            </w:r>
          </w:p>
        </w:tc>
        <w:tc>
          <w:tcPr>
            <w:tcW w:type="dxa" w:w="34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项目可行性评估、竞品分析、市场机会评分</w:t>
            </w:r>
          </w:p>
        </w:tc>
      </w:tr>
      <w:tr>
        <w:tc>
          <w:tcPr>
            <w:tcW w:type="dxa" w:w="2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企业 / 销售团队</w:t>
            </w:r>
          </w:p>
        </w:tc>
        <w:tc>
          <w:tcPr>
            <w:tcW w:type="dxa" w:w="3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监控客户与商机</w:t>
            </w:r>
          </w:p>
        </w:tc>
        <w:tc>
          <w:tcPr>
            <w:tcW w:type="dxa" w:w="34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企业尽调、政策招投标监控、供应商风险预警</w:t>
            </w:r>
          </w:p>
        </w:tc>
      </w:tr>
      <w:tr>
        <w:tc>
          <w:tcPr>
            <w:tcW w:type="dxa" w:w="2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开发者 / AI 团队</w:t>
            </w:r>
          </w:p>
        </w:tc>
        <w:tc>
          <w:tcPr>
            <w:tcW w:type="dxa" w:w="3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API 与 MCP 调用</w:t>
            </w:r>
          </w:p>
        </w:tc>
        <w:tc>
          <w:tcPr>
            <w:tcW w:type="dxa" w:w="34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结构化数据 API、MCP Server、Agent 数据工具层</w:t>
            </w:r>
          </w:p>
        </w:tc>
      </w:tr>
      <w:tr>
        <w:tc>
          <w:tcPr>
            <w:tcW w:type="dxa" w:w="2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投资研究 / 财经自媒体</w:t>
            </w:r>
          </w:p>
        </w:tc>
        <w:tc>
          <w:tcPr>
            <w:tcW w:type="dxa" w:w="3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宏观与企业数据整理</w:t>
            </w:r>
          </w:p>
        </w:tc>
        <w:tc>
          <w:tcPr>
            <w:tcW w:type="dxa" w:w="34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宏观指标查询、财报解读、行业研究简报</w:t>
            </w:r>
          </w:p>
        </w:tc>
      </w:tr>
      <w:tr>
        <w:tc>
          <w:tcPr>
            <w:tcW w:type="dxa" w:w="2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教育咨询 / 留学机构</w:t>
            </w:r>
          </w:p>
        </w:tc>
        <w:tc>
          <w:tcPr>
            <w:tcW w:type="dxa" w:w="3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选校与专业对比</w:t>
            </w:r>
          </w:p>
        </w:tc>
        <w:tc>
          <w:tcPr>
            <w:tcW w:type="dxa" w:w="34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大学数据库查询、专业对比、AI 选校报告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2"/>
      </w:pPr>
      <w:r>
        <w:t xml:space="preserve">1.4 商业模式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采用「基础套餐 + 数据包订阅 + API 调用量 + 企业增值服务」的复合订阅制，详见第五章定价体系。</w:t>
      </w:r>
    </w:p>
    <w:p>
      <w:r>
        <w:br w:type="page"/>
      </w:r>
    </w:p>
    <w:p>
      <w:pPr>
        <w:pStyle w:val="Heading1"/>
      </w:pPr>
      <w:r>
        <w:t xml:space="preserve">二、信息架构与页面清单</w:t>
      </w:r>
    </w:p>
    <w:p>
      <w:pPr>
        <w:pStyle w:val="Heading2"/>
      </w:pPr>
      <w:r>
        <w:t xml:space="preserve">2.1 平台五层能力架构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平台整体分为五层，从数据采集到 AI Agent 接入，逐层向上提供能力：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type="dxa" w:w="1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名称</w:t>
            </w:r>
          </w:p>
        </w:tc>
        <w:tc>
          <w:tcPr>
            <w:tcW w:type="dxa" w:w="56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核心能力</w:t>
            </w:r>
          </w:p>
        </w:tc>
      </w:tr>
      <w:tr>
        <w:tc>
          <w:tcPr>
            <w:tcW w:type="dxa" w:w="1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① 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数据中台</w:t>
            </w:r>
          </w:p>
        </w:tc>
        <w:tc>
          <w:tcPr>
            <w:tcW w:type="dxa" w:w="56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数据源管理、采集任务、清洗规则、去重、字段映射、版本管理、质量评分、异常监控</w:t>
            </w:r>
          </w:p>
        </w:tc>
      </w:tr>
      <w:tr>
        <w:tc>
          <w:tcPr>
            <w:tcW w:type="dxa" w:w="1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② 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API 层</w:t>
            </w:r>
          </w:p>
        </w:tc>
        <w:tc>
          <w:tcPr>
            <w:tcW w:type="dxa" w:w="56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REST API、Webhook、SDK、OpenAPI 文档、调用日志、限流规则、状态监控</w:t>
            </w:r>
          </w:p>
        </w:tc>
      </w:tr>
      <w:tr>
        <w:tc>
          <w:tcPr>
            <w:tcW w:type="dxa" w:w="1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③ 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 分析层</w:t>
            </w:r>
          </w:p>
        </w:tc>
        <w:tc>
          <w:tcPr>
            <w:tcW w:type="dxa" w:w="56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数据摘要、趋势解释、异常检测、风险提示、机会判断、自动生成 PDF/Markdown/HTML 报告</w:t>
            </w:r>
          </w:p>
        </w:tc>
      </w:tr>
      <w:tr>
        <w:tc>
          <w:tcPr>
            <w:tcW w:type="dxa" w:w="1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④ 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MCP 层</w:t>
            </w:r>
          </w:p>
        </w:tc>
        <w:tc>
          <w:tcPr>
            <w:tcW w:type="dxa" w:w="56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兼容 Claude Desktop / Cursor / Cline / Windsurf，让数据可被 AI Agent 直接调用</w:t>
            </w:r>
          </w:p>
        </w:tc>
      </w:tr>
      <w:tr>
        <w:tc>
          <w:tcPr>
            <w:tcW w:type="dxa" w:w="1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⑤ 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用户工作台</w:t>
            </w:r>
          </w:p>
        </w:tc>
        <w:tc>
          <w:tcPr>
            <w:tcW w:type="dxa" w:w="56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API Key 管理、调用日志、报告中心、监控任务、订阅与账单、团队成员管理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2"/>
      </w:pPr>
      <w:r>
        <w:t xml:space="preserve">2.2 全站页面清单（已完成交互原型）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以下页面均已通过 HTML/CSS/JS 完成可交互原型验证，可直接作为前端开发的视觉与交互参照：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页面名称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核心内容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母平台首页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Hero 区、数据统计栏、8 个数据包摘要卡、五层架构图示、用户场景入口、订阅方案对比、CTA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数据产品市场页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全部 10 个数据包列表，支持搜索、状态筛选（已上线/规划中）、分类筛选、排序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数据包详情页 ×10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统一模板：场景问题卡、API 接口列表、在线 Demo、数据来源、返回字段表、MCP 工具、侧边定价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行业解决方案页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按创业者/企业销售/投资研究/教育咨询四类场景组合多个数据包，含使用流程与组合折扣定价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注册 / 登录页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邮箱密码登录注册、密码强度检测、社交账号登录、右侧价值主张与用户评价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订阅结账页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套餐选择、数据包勾选（按套餐限额联动）、计费周期切换（月/年）、支付方式、订单摘要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用户工作台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总览（指标卡+调用趋势图）、API Key 管理、报告中心、监控任务、通知渠道配置、我的数据包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 报告生成器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输入创业方向、模块勾选、参数配置、分步骤调用动画、流式文本输出、评分卡、风险提示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MCP 接入指南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4 个客户端选择（Claude/Cursor/Cline/Windsurf）、配置代码自动生成、测试连接示例、FAQ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t>10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t>定价对比页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t>5 档套餐头部卡片、按月/按年切换、19 项功能矩阵对比（4 分组）、常见问题 FAQ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t>11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t>API 文档中心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t>三栏布局：按数据包分组的接口导航、参数与返回字段表、cURL/Python/Node.js 多语言代码示例</w:t>
            </w:r>
          </w:p>
        </w:tc>
      </w:tr>
      <w:tr>
        <w:tc>
          <w:tcPr>
            <w:tcW w:type="dxa" w:w="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t>12</w:t>
            </w:r>
          </w:p>
        </w:tc>
        <w:tc>
          <w:tcPr>
            <w:tcW w:type="dxa" w:w="24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t>接口状态页</w:t>
            </w:r>
          </w:p>
        </w:tc>
        <w:tc>
          <w:tcPr>
            <w:tcW w:type="dxa" w:w="62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t>总体状态横幅、可用性统计、9 个服务模块状态（含 sparkline）、90 天历史条形图、事件列表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2"/>
      </w:pPr>
      <w:r>
        <w:t xml:space="preserve">2.3 核心用户流程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平台主干流程覆盖「访客浏览 → 注册登录 → 浏览数据包 → 订阅付费 → 工作台管理 → 生成报告 → 接入 MCP」的完整闭环：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访客在首页或数据产品市场页浏览数据包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点击数据包卡片进入详情页，查看 API 列表与在线 Demo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未登录用户点击订阅，跳转注册/登录页完成账号创建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进入订阅结账页选择套餐与数据包，完成支付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支付成功后进入用户工作台，获取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在工作台使用 AI 报告生成器产出第一份报告，或前往 MCP 接入指南配置 AI 客户端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后续通过监控任务持续追踪行业/竞品动态，按需续费或升级套餐</w:t>
      </w:r>
    </w:p>
    <w:p>
      <w:r>
        <w:br w:type="page"/>
      </w:r>
    </w:p>
    <w:p>
      <w:pPr>
        <w:pStyle w:val="Heading1"/>
      </w:pPr>
      <w:r>
        <w:t xml:space="preserve">三、数据产品包详情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以下为 10 个数据产品包的完整规格，前 3 个为 MVP 阶段已重点设计（已上线状态），其余 7 个已完成原型与字段设计，将分阶段上架。</w:t>
      </w:r>
    </w:p>
    <w:p>
      <w:pPr>
        <w:pStyle w:val="Heading2"/>
      </w:pPr>
      <w:r>
        <w:t xml:space="preserve">3.1 创业商业情报数据包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状态</w:t>
            </w:r>
          </w:p>
          <w:p>
            <w:r>
              <w:rPr>
                <w:color w:val="1A1A18"/>
                <w:sz w:val="20"/>
                <w:szCs w:val="20"/>
              </w:rPr>
              <w:t xml:space="preserve">已上线（MVP 核心）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帮助创业者、独立开发者和小团队回答：这个项目值不值得做？市场有多大？竞品是谁？可以怎么赚钱？</w:t>
      </w:r>
    </w:p>
    <w:p>
      <w:pPr>
        <w:spacing w:after="160"/>
      </w:pPr>
      <w:r>
        <w:rPr>
          <w:i w:val="false"/>
          <w:iCs w:val="false"/>
          <w:color w:val="5F5E5A"/>
          <w:sz w:val="21"/>
          <w:szCs w:val="21"/>
        </w:rPr>
        <w:t xml:space="preserve">目标用户：个人创业者、小团队、独立开发者、AI 创业者、跨境电商、内容创业者</w:t>
      </w:r>
    </w:p>
    <w:p>
      <w:pPr>
        <w:pStyle w:val="Heading3"/>
      </w:pPr>
      <w:r>
        <w:t xml:space="preserve">API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方法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/v1/industry/trends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行业趋势查询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/v1/project/evaluate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创业项目评估与评分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/v1/competitor/list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竞品列表生成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/v1/business-model/analyze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商业模式分析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/v1/market/opportunity-score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市场机会评分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/v1/report/startup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 创业分析报告生成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3"/>
      </w:pPr>
      <w:r>
        <w:t xml:space="preserve">数据来源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国家统计局、World Bank、OECD、OpenAlex 论文趋势、USPTO 专利、GDELT 新闻事件（公开）；企查查/天眼查、Similarweb 流量估算、投融资数据库（第三方授权）</w:t>
      </w:r>
    </w:p>
    <w:p>
      <w:pPr>
        <w:pStyle w:val="Heading3"/>
      </w:pPr>
      <w:r>
        <w:t xml:space="preserve">核心返回字段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opportunity_score（机会评分）、market_growth（增速）、top_competitors（竞品列表）、recommended_model（推荐模式）、top_risk（最大风险）、mvp_suggestion（MVP建议）、report_url</w:t>
      </w:r>
    </w:p>
    <w:p>
      <w:pPr>
        <w:pStyle w:val="Heading3"/>
      </w:pPr>
      <w:r>
        <w:t xml:space="preserve">定价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个人版 ¥99/月 · 创业者版 ¥299/月 · 专业版 ¥799/月 · 企业版 ¥1999/月起</w:t>
      </w:r>
    </w:p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3.2 AI / GEO 数据包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状态</w:t>
            </w:r>
          </w:p>
          <w:p>
            <w:r>
              <w:rPr>
                <w:color w:val="1A1A18"/>
                <w:sz w:val="20"/>
                <w:szCs w:val="20"/>
              </w:rPr>
              <w:t xml:space="preserve">已上线（MVP 核心）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帮助企业官网、独立站和内容团队判断：网站能否被 ChatGPT、Perplexity、Google AI Overview 理解和引用，并给出优化建议。</w:t>
      </w:r>
    </w:p>
    <w:p>
      <w:pPr>
        <w:spacing w:after="160"/>
      </w:pPr>
      <w:r>
        <w:rPr>
          <w:i w:val="false"/>
          <w:iCs w:val="false"/>
          <w:color w:val="5F5E5A"/>
          <w:sz w:val="21"/>
          <w:szCs w:val="21"/>
        </w:rPr>
        <w:t xml:space="preserve">目标用户：企业官网、独立站、AI 工具站、B2B 公司、内容团队、SEO/GEO 服务商</w:t>
      </w:r>
    </w:p>
    <w:p>
      <w:pPr>
        <w:pStyle w:val="Heading3"/>
      </w:pPr>
      <w:r>
        <w:t xml:space="preserve">API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方法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/v1/geo/visibility-score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网站 AI 可见度评分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/v1/geo/structure-check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页面结构化数据检测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/v1/geo/content-coverage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品牌内容覆盖度分析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/v1/geo/competitor-gap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竞品内容差距分析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/v1/geo/citation-monitor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 搜索引用监测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/v1/report/geo-optimization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GEO 优化建议报告生成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3"/>
      </w:pPr>
      <w:r>
        <w:t xml:space="preserve">数据来源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目标网站/竞品官网、Common Crawl、结构化数据检测、行业问答内容库（公开）；SEO 关键词数据、反向链接数据、流量估算数据（第三方授权）</w:t>
      </w:r>
    </w:p>
    <w:p>
      <w:pPr>
        <w:pStyle w:val="Heading3"/>
      </w:pPr>
      <w:r>
        <w:t xml:space="preserve">核心返回字段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visibility_score（综合评分）、structure_score（结构化程度）、schema_coverage（Schema覆盖率）、authority_signal（权威信号）、content_gaps（内容缺口）、competitor_comparison、citation_history</w:t>
      </w:r>
    </w:p>
    <w:p>
      <w:pPr>
        <w:pStyle w:val="Heading3"/>
      </w:pPr>
      <w:r>
        <w:t xml:space="preserve">定价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个人版 ¥99/月 · 创业者版 ¥499/月 · 专业版 ¥999/月 · 企业版 ¥2999/月起</w:t>
      </w:r>
    </w:p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3.3 企业情报与风控数据包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状态</w:t>
            </w:r>
          </w:p>
          <w:p>
            <w:r>
              <w:rPr>
                <w:color w:val="1A1A18"/>
                <w:sz w:val="20"/>
                <w:szCs w:val="20"/>
              </w:rPr>
              <w:t xml:space="preserve">已上线（MVP 核心）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帮助销售团队、企业老板和咨询顾问回答：这家公司值得合作吗？有没有法律风险？竞品最近有什么动作？</w:t>
      </w:r>
    </w:p>
    <w:p>
      <w:pPr>
        <w:spacing w:after="160"/>
      </w:pPr>
      <w:r>
        <w:rPr>
          <w:i w:val="false"/>
          <w:iCs w:val="false"/>
          <w:color w:val="5F5E5A"/>
          <w:sz w:val="21"/>
          <w:szCs w:val="21"/>
        </w:rPr>
        <w:t xml:space="preserve">目标用户：ToB 销售团队、咨询公司、供应链企业、金融机构、小企业老板、投资人</w:t>
      </w:r>
    </w:p>
    <w:p>
      <w:pPr>
        <w:pStyle w:val="Heading3"/>
      </w:pPr>
      <w:r>
        <w:t xml:space="preserve">API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方法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/v1/company/lookup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企业基础信息查询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/v1/company/risk-score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企业风险评分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/v1/company/relation-graph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企业关系图谱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/v1/competitor/monitor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竞品动态监控任务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/v1/bid/leads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招投标线索查询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/v1/report/due-diligence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 尽调报告生成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3"/>
      </w:pPr>
      <w:r>
        <w:t xml:space="preserve">数据来源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国家企业信用信息公示系统、公开裁判文书、政府采购/招投标公告、商标专利公开信息（公开）；企查查 API、天眼查 API、招投标数据商（第三方授权）</w:t>
      </w:r>
    </w:p>
    <w:p>
      <w:pPr>
        <w:pStyle w:val="Heading3"/>
      </w:pPr>
      <w:r>
        <w:t xml:space="preserve">核心返回字段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risk_score（风险评分0-100）、risk_level（低/中/高）、basic_info（基础信息）、related_companies（关联公司）、judicial_records（司法记录）、recent_events、report_url</w:t>
      </w:r>
    </w:p>
    <w:p>
      <w:pPr>
        <w:pStyle w:val="Heading3"/>
      </w:pPr>
      <w:r>
        <w:t xml:space="preserve">定价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个人版不开放 · 创业者版 ¥699/月 · 专业版 ¥1499/月 · 企业版 ¥4999/月起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合规提示</w:t>
            </w:r>
          </w:p>
          <w:p>
            <w:r>
              <w:rPr>
                <w:color w:val="1A1A18"/>
                <w:sz w:val="20"/>
                <w:szCs w:val="20"/>
              </w:rPr>
              <w:t xml:space="preserve">数据仅供商业参考，不构成法律或投资建议，关键决策需以官方渠道核实为准。</w:t>
            </w:r>
          </w:p>
        </w:tc>
      </w:tr>
    </w:tbl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3.4 金融宏观数据包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状态</w:t>
            </w:r>
          </w:p>
          <w:p>
            <w:r>
              <w:rPr>
                <w:color w:val="1A1A18"/>
                <w:sz w:val="20"/>
                <w:szCs w:val="20"/>
              </w:rPr>
              <w:t xml:space="preserve">已上线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帮助投研团队、财经自媒体和投资学习者获取宏观经济数据、上市公司公告与市场事件，AI 自动生成宏观解读报告。</w:t>
      </w:r>
    </w:p>
    <w:p>
      <w:pPr>
        <w:spacing w:after="160"/>
      </w:pPr>
      <w:r>
        <w:rPr>
          <w:i w:val="false"/>
          <w:iCs w:val="false"/>
          <w:color w:val="5F5E5A"/>
          <w:sz w:val="21"/>
          <w:szCs w:val="21"/>
        </w:rPr>
        <w:t xml:space="preserve">目标用户：投资学习者、研究员、财经自媒体、投研小团队、加密研究者</w:t>
      </w:r>
    </w:p>
    <w:p>
      <w:pPr>
        <w:pStyle w:val="Heading3"/>
      </w:pPr>
      <w:r>
        <w:t xml:space="preserve">API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方法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/v1/macro/indicators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宏观指标查询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/v1/macro/central-bank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全球央行政策动向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/v1/company/earnings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财报摘要查询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/v1/company/filings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上市公司公告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/v1/market/events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市场事件监控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/v1/crypto/basics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加密资产基础数据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/v1/report/macro-brief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 宏观报告生成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3"/>
      </w:pPr>
      <w:r>
        <w:t xml:space="preserve">数据来源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FRED、World Bank、OECD、国家统计局、SEC EDGAR（公开）；Alpha Vantage、Finnhub、CoinGecko Pro、Dune API（第三方授权）</w:t>
      </w:r>
    </w:p>
    <w:p>
      <w:pPr>
        <w:pStyle w:val="Heading3"/>
      </w:pPr>
      <w:r>
        <w:t xml:space="preserve">核心返回字段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indicator（指标名称）、value（最新数值）、change_mom（环比变化）、history（历史序列）、region（地区）、report_url</w:t>
      </w:r>
    </w:p>
    <w:p>
      <w:pPr>
        <w:pStyle w:val="Heading3"/>
      </w:pPr>
      <w:r>
        <w:t xml:space="preserve">定价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个人版 ¥99/月 · 创业者版 ¥499/月 · 专业版 ¥999/月 · 企业版 ¥2999/月起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合规提示</w:t>
            </w:r>
          </w:p>
          <w:p>
            <w:r>
              <w:rPr>
                <w:color w:val="1A1A18"/>
                <w:sz w:val="20"/>
                <w:szCs w:val="20"/>
              </w:rPr>
              <w:t xml:space="preserve">数据整理与 AI 解读仅供研究参考，不构成投资建议，不涉及荐股、带单或交易信号。</w:t>
            </w:r>
          </w:p>
        </w:tc>
      </w:tr>
    </w:tbl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3.5 Web3 / Crypto 研究数据包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状态</w:t>
            </w:r>
          </w:p>
          <w:p>
            <w:r>
              <w:rPr>
                <w:color w:val="1A1A18"/>
                <w:sz w:val="20"/>
                <w:szCs w:val="20"/>
              </w:rPr>
              <w:t xml:space="preserve">即将上线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帮助 Web3 研究者、内容创作者和链上分析爱好者查询 Token 数据、交易所公告、DeFi 协议数据，并自动生成项目研究报告。</w:t>
      </w:r>
    </w:p>
    <w:p>
      <w:pPr>
        <w:spacing w:after="160"/>
      </w:pPr>
      <w:r>
        <w:rPr>
          <w:i w:val="false"/>
          <w:iCs w:val="false"/>
          <w:color w:val="5F5E5A"/>
          <w:sz w:val="21"/>
          <w:szCs w:val="21"/>
        </w:rPr>
        <w:t xml:space="preserve">目标用户：Web3 研究者、加密内容创作者、项目方、空投用户、链上分析爱好者</w:t>
      </w:r>
    </w:p>
    <w:p>
      <w:pPr>
        <w:pStyle w:val="Heading3"/>
      </w:pPr>
      <w:r>
        <w:t xml:space="preserve">API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方法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/v1/token/basics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Token 基础信息查询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/v1/exchange/announcements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交易所公告监控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/v1/defi/tvl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DeFi TVL 与费用数据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/v1/airdrop/tasks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空投任务监控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/v1/project/risk-tag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项目风险标签查询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/v1/report/crypto-research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 项目研究报告生成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3"/>
      </w:pPr>
      <w:r>
        <w:t xml:space="preserve">数据来源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CoinGecko、DefiLlama、区块浏览器 API、项目官网文档（公开）；Token Terminal、Nansen、Glassnode、Messari（第三方授权）</w:t>
      </w:r>
    </w:p>
    <w:p>
      <w:pPr>
        <w:pStyle w:val="Heading3"/>
      </w:pPr>
      <w:r>
        <w:t xml:space="preserve">核心返回字段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market_cap（市值）、tvl（锁仓总值）、risk_tag（风险标签）、audit_status（审计状态）、recent_events、report_url</w:t>
      </w:r>
    </w:p>
    <w:p>
      <w:pPr>
        <w:pStyle w:val="Heading3"/>
      </w:pPr>
      <w:r>
        <w:t xml:space="preserve">定价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预计：个人版 ¥99/月 · 创业者版 ¥499/月 · 企业版 ¥2999/月起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合规提示</w:t>
            </w:r>
          </w:p>
          <w:p>
            <w:r>
              <w:rPr>
                <w:color w:val="1A1A18"/>
                <w:sz w:val="20"/>
                <w:szCs w:val="20"/>
              </w:rPr>
              <w:t xml:space="preserve">仅作研究数据工具，不提供荐币、带单、收益承诺或交易信号，不构成投资建议。</w:t>
            </w:r>
          </w:p>
        </w:tc>
      </w:tr>
    </w:tbl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3.6 政策与招投标数据包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状态</w:t>
            </w:r>
          </w:p>
          <w:p>
            <w:r>
              <w:rPr>
                <w:color w:val="1A1A18"/>
                <w:sz w:val="20"/>
                <w:szCs w:val="20"/>
              </w:rPr>
              <w:t xml:space="preserve">规划中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帮助 ToB 企业、软件公司和地方服务商监控政策公告与招投标商机，自动匹配可申报项目，第一时间获取商机提醒。</w:t>
      </w:r>
    </w:p>
    <w:p>
      <w:pPr>
        <w:spacing w:after="160"/>
      </w:pPr>
      <w:r>
        <w:rPr>
          <w:i w:val="false"/>
          <w:iCs w:val="false"/>
          <w:color w:val="5F5E5A"/>
          <w:sz w:val="21"/>
          <w:szCs w:val="21"/>
        </w:rPr>
        <w:t xml:space="preserve">目标用户：ToB 企业、软件公司、工程公司、咨询公司、代理商、地方服务商</w:t>
      </w:r>
    </w:p>
    <w:p>
      <w:pPr>
        <w:pStyle w:val="Heading3"/>
      </w:pPr>
      <w:r>
        <w:t xml:space="preserve">API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方法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/v1/policy/announcements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政策公告监控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/v1/bid/leads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招投标线索查询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/v1/policy/region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地区政策查询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/v1/policy/match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企业可申报项目匹配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/v1/report/policy-brief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 政策解读报告生成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3"/>
      </w:pPr>
      <w:r>
        <w:t xml:space="preserve">数据来源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政府官网公告、政府采购网、发改委/工信部公告、行业协会公告（公开）；招投标数据商、政策数据平台（第三方授权）</w:t>
      </w:r>
    </w:p>
    <w:p>
      <w:pPr>
        <w:pStyle w:val="Heading3"/>
      </w:pPr>
      <w:r>
        <w:t xml:space="preserve">核心返回字段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title（公告标题）、amount（金额/补贴额度）、match_score（匹配度）、deadline（截止日期）、region、report_url</w:t>
      </w:r>
    </w:p>
    <w:p>
      <w:pPr>
        <w:pStyle w:val="Heading3"/>
      </w:pPr>
      <w:r>
        <w:t xml:space="preserve">定价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预计：创业者版 ¥799/月 · 企业版 ¥4999/月起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合规提示</w:t>
            </w:r>
          </w:p>
          <w:p>
            <w:r>
              <w:rPr>
                <w:color w:val="1A1A18"/>
                <w:sz w:val="20"/>
                <w:szCs w:val="20"/>
              </w:rPr>
              <w:t xml:space="preserve">企业用户愿意为此长期付费，因为直接关联「找客户、拿项目、拿补贴」的真实商业收益。</w:t>
            </w:r>
          </w:p>
        </w:tc>
      </w:tr>
    </w:tbl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3.7 技术专利趋势数据包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状态</w:t>
            </w:r>
          </w:p>
          <w:p>
            <w:r>
              <w:rPr>
                <w:color w:val="1A1A18"/>
                <w:sz w:val="20"/>
                <w:szCs w:val="20"/>
              </w:rPr>
              <w:t xml:space="preserve">规划中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帮助科技创业者、投资人和研发团队查询专利布局、技术趋势和高校机构科研实力，洞察竞品的技术路线图。</w:t>
      </w:r>
    </w:p>
    <w:p>
      <w:pPr>
        <w:spacing w:after="160"/>
      </w:pPr>
      <w:r>
        <w:rPr>
          <w:i w:val="false"/>
          <w:iCs w:val="false"/>
          <w:color w:val="5F5E5A"/>
          <w:sz w:val="21"/>
          <w:szCs w:val="21"/>
        </w:rPr>
        <w:t xml:space="preserve">目标用户：科技创业者、投资人、研发团队、专利代理机构、产业研究员</w:t>
      </w:r>
    </w:p>
    <w:p>
      <w:pPr>
        <w:pStyle w:val="Heading3"/>
      </w:pPr>
      <w:r>
        <w:t xml:space="preserve">API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方法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/v1/patent/search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专利查询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/v1/tech/trends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技术趋势分析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/v1/paper/topics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论文主题与引用趋势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/v1/org/research-strength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机构科研实力查询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/v1/company/tech-layout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公司技术布局查询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/v1/report/tech-trend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 技术趋势报告生成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3"/>
      </w:pPr>
      <w:r>
        <w:t xml:space="preserve">数据来源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USPTO、CNIPA、Google Patents、OpenAlex、arXiv（公开）；智慧芽、PatSnap、Derwent 专利数据（第三方授权）</w:t>
      </w:r>
    </w:p>
    <w:p>
      <w:pPr>
        <w:pStyle w:val="Heading3"/>
      </w:pPr>
      <w:r>
        <w:t xml:space="preserve">核心返回字段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field（技术领域）、patent_trend（专利申请趋势）、top_applicants（主要申请机构）、hot_topics（研究热点）、report_url</w:t>
      </w:r>
    </w:p>
    <w:p>
      <w:pPr>
        <w:pStyle w:val="Heading3"/>
      </w:pPr>
      <w:r>
        <w:t xml:space="preserve">定价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预计：个人版 ¥199/月 · 创业者版 ¥999/月 · 企业版 ¥5999/月起</w:t>
      </w:r>
    </w:p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3.8 教育与选校数据包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状态</w:t>
            </w:r>
          </w:p>
          <w:p>
            <w:r>
              <w:rPr>
                <w:color w:val="1A1A18"/>
                <w:sz w:val="20"/>
                <w:szCs w:val="20"/>
              </w:rPr>
              <w:t xml:space="preserve">规划中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帮助学生、家长和留学机构对比全球大学的专业实力、科研水平和就业趋势，生成 AI 选校分析报告。</w:t>
      </w:r>
    </w:p>
    <w:p>
      <w:pPr>
        <w:spacing w:after="160"/>
      </w:pPr>
      <w:r>
        <w:rPr>
          <w:i w:val="false"/>
          <w:iCs w:val="false"/>
          <w:color w:val="5F5E5A"/>
          <w:sz w:val="21"/>
          <w:szCs w:val="21"/>
        </w:rPr>
        <w:t xml:space="preserve">目标用户：学生、家长、留学机构、职业规划机构、教育咨询师、培训机构</w:t>
      </w:r>
    </w:p>
    <w:p>
      <w:pPr>
        <w:pStyle w:val="Heading3"/>
      </w:pPr>
      <w:r>
        <w:t xml:space="preserve">API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方法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/v1/university/lookup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大学基础信息查询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/v1/major/compare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专业对比分析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/v1/university/research-strength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科研实力查询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/v1/major/career-outlook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职业就业趋势查询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/v1/education/country-data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国家教育数据查询</w:t>
            </w:r>
          </w:p>
        </w:tc>
      </w:tr>
      <w:tr>
        <w:tc>
          <w:tcPr>
            <w:tcW w:type="dxa" w:w="11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/v1/report/school-selection</w:t>
            </w:r>
          </w:p>
        </w:tc>
        <w:tc>
          <w:tcPr>
            <w:tcW w:type="dxa" w:w="4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 选校报告生成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3"/>
      </w:pPr>
      <w:r>
        <w:t xml:space="preserve">数据来源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UNESCO、NCES、学校官网公开数据、OpenAlex、World Bank 教育数据（公开）；QS/THE 授权数据、招聘平台薪资数据（第三方授权）</w:t>
      </w:r>
    </w:p>
    <w:p>
      <w:pPr>
        <w:pStyle w:val="Heading3"/>
      </w:pPr>
      <w:r>
        <w:t xml:space="preserve">核心返回字段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university_name、tuition（学费）、acceptance_rate（录取率）、top_majors（优势专业）、employment_rate（就业率）、report_url</w:t>
      </w:r>
    </w:p>
    <w:p>
      <w:pPr>
        <w:pStyle w:val="Heading3"/>
      </w:pPr>
      <w:r>
        <w:t xml:space="preserve">定价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预计：个人版 ¥49/月 · 创业者版 ¥299/月 · 企业版 ¥1999/月起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合规提示</w:t>
            </w:r>
          </w:p>
          <w:p>
            <w:r>
              <w:rPr>
                <w:color w:val="1A1A18"/>
                <w:sz w:val="20"/>
                <w:szCs w:val="20"/>
              </w:rPr>
              <w:t xml:space="preserve">不涉及学生个人成绩、学籍或申请隐私数据，仅提供公开学校、专业与趋势数据。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四、核心功能模块说明</w:t>
      </w:r>
    </w:p>
    <w:p>
      <w:pPr>
        <w:pStyle w:val="Heading2"/>
      </w:pPr>
      <w:r>
        <w:t xml:space="preserve">4.1 用户工作台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工作台采用左侧导航 + 主内容区的经典布局，分为「工作台」「数据产品」「账户」三组导航。</w:t>
      </w:r>
    </w:p>
    <w:p>
      <w:pPr>
        <w:pStyle w:val="Heading3"/>
      </w:pPr>
      <w:r>
        <w:t xml:space="preserve">4.1.1 总览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套餐信息横幅：当前套餐、包含数据包数、调用额度、续费日期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4 个核心指标卡：本月 API 调用、已生成报告、活跃监控任务、待查看告警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调用量趋势柱状图（按日统计，近 14 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最近报告列表（含新/已读状态标签）与监控告警预览</w:t>
      </w:r>
    </w:p>
    <w:p>
      <w:pPr>
        <w:pStyle w:val="Heading3"/>
      </w:pPr>
      <w:r>
        <w:t xml:space="preserve">4.1.2 API Key 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支持创建多个 Key（如生产环境 / 开发测试），分别设置数据包权限范围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Key 默认掩码显示，点击眼睛图标可临时显示完整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每个 Key 展示：本月调用量进度条、创建时间、最后调用时间、权限范围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支持复制、轮换（重新生成）、删除操作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调用日志表格：接口路径、状态码（颜色区分成功/限流/失败）、耗时、时间、所属 Key</w:t>
      </w:r>
    </w:p>
    <w:p>
      <w:pPr>
        <w:pStyle w:val="Heading3"/>
      </w:pPr>
      <w:r>
        <w:t xml:space="preserve">4.1.3 报告中心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按数据包分类筛选（创业情报 / AI-GEO / 竞品监控等）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报告卡片展示标题、所属数据包、生成时间、新/已读状态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支持下载（PDF/Markdown）与在线查看</w:t>
      </w:r>
    </w:p>
    <w:p>
      <w:pPr>
        <w:pStyle w:val="Heading3"/>
      </w:pPr>
      <w:r>
        <w:t xml:space="preserve">4.1.4 监控任务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监控任务列表：状态点区分告警中（红）/ 正常（绿）/ 已暂停（灰）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每条任务展示所属数据包、最后检查时间，告警任务额外显示告警徽章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通知渠道配置：邮件、企业微信、飞书、Webhook 四种渠道，支持单独启用/配置</w:t>
      </w:r>
    </w:p>
    <w:p>
      <w:pPr>
        <w:pStyle w:val="Heading3"/>
      </w:pPr>
      <w:r>
        <w:t xml:space="preserve">4.1.5 我的数据包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展示已订阅的数据包卡片，含图标、接口数量、更新频率、当月调用量进度条</w:t>
      </w:r>
    </w:p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4.2 AI 报告生成器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左右分栏布局：左侧为参数配置面板，右侧为报告输出区，支持三种状态切换（空状态 / 生成中 / 报告展示）。</w:t>
      </w:r>
    </w:p>
    <w:p>
      <w:pPr>
        <w:pStyle w:val="Heading3"/>
      </w:pPr>
      <w:r>
        <w:t xml:space="preserve">4.2.1 左侧配置面板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创业方向/项目输入框（多行文本）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5 个快速示例标签，点击直接填充输入框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6 个报告模块 Chip（行业趋势/竞品分析/商业模式/目标用户/风险评估/MVP建议），可自由勾选组合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目标用户画像下拉选择（个人创业者/小团队/企业内部创业/投资人分析师）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报告语言选择（中文/English）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本月报告额度进度条提示</w:t>
      </w:r>
    </w:p>
    <w:p>
      <w:pPr>
        <w:pStyle w:val="Heading3"/>
      </w:pPr>
      <w:r>
        <w:t xml:space="preserve">4.2.2 生成流程动画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点击生成后，按顺序展示 5 个数据调用步骤，每个步骤标注对应的 API/MCP 工具名称，模拟真实的流式调用过程，每步间隔约 0.9 秒：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查询行业趋势数据 — insighthub_industry_trends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分析竞品列表与流量 — insighthub_competitor_list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评估市场机会与规模 — insighthub_market_score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识别用户需求与痛点 — insighthub_user_insights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生成 AI 商业分析报告 — claude-sonnet-4-6 streaming</w:t>
      </w:r>
    </w:p>
    <w:p>
      <w:pPr>
        <w:pStyle w:val="Heading3"/>
      </w:pPr>
      <w:r>
        <w:t xml:space="preserve">4.2.3 报告输出区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报告头部：标题、数据包/日期/AI生成标签、复制/下载/分享操作按钮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3 个核心指标卡：市场机会评分、行业年增速、竞争激烈度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各模块内容逐字流式输出（打字机效果），符合用户勾选的模块顺序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竞品分析以卡片网格形式展示；风险评估按高/中/低三档颜色标记</w:t>
      </w:r>
    </w:p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4.3 MCP 接入指南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帮助用户在 4 类 AI 客户端（Claude Desktop / Cursor / Cline / Windsurf）中配置 InsightHub 的 MCP Server。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客户端选择卡片，切换后自动更新下方配置路径与 JSON 代码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API Key 选择下拉框，切换后配置代码中的 Key 同步替换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每个客户端统一 4 步流程：环境准备 → 定位配置文件 → 粘贴配置 JSON（含复制按钮）→ 重启验证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可用 MCP 工具列表展示当前已订阅数据包对应的工具名称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测试连接示例：模拟一次用户提问与 AI 调用工具返回结果的对话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常见问题：额度计算方式、多客户端复用 Key、免费版限制、故障排查</w:t>
      </w:r>
    </w:p>
    <w:p>
      <w:pPr>
        <w:pStyle w:val="Heading3"/>
      </w:pPr>
      <w:r>
        <w:t xml:space="preserve">MCP 配置示例（Claude Desktop）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claude_desktop_config.json</w:t>
            </w:r>
          </w:p>
        </w:tc>
      </w:tr>
      <w:tr>
        <w:tc>
          <w:tcPr>
            <w:tcW w:type="dxa" w:w="9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{
  "mcpServers": {
    "insighthub": {
      "command": "npx",
      "args": ["-y", "@insighthub/mcp-server"],
      "env": { "INSIGHTHUB_API_KEY": "ihd_live_sk_xxxxxxxx" }
    }
  }
}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4.4 订阅结账流程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三步式结账流程：选择套餐 → 填写信息 → 支付，右侧始终展示实时联动的订单摘要。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套餐卡片：个人版/创业者版（默认推荐）/专业版，含价格与核心权益预览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数据包勾选：根据所选套餐自动限制可选数量上限，降级套餐时自动裁剪超额选择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计费周期切换：按月 / 按年（年付自动计算 17% 折扣并实时刷新总价）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联系信息表单：姓名、公司名称（开票用）、邮箱、手机号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支付方式：微信支付 / 支付宝 / 银行卡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服务条款勾选确认，支付按钮文案随总价实时更新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订单摘要侧栏：套餐、计费周期、已选数据包、价格明细（含折扣行）、最终金额、信任标识（SSL/可取消/发票）</w:t>
      </w:r>
    </w:p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4.5 行业解决方案（数据包组合方案）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按用户身份将多个数据包打包为「场景化方案」，提供比单独订阅更优惠的组合价格，4 个方案 Tab 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19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方案</w:t>
            </w:r>
          </w:p>
        </w:tc>
        <w:tc>
          <w:tcPr>
            <w:tcW w:type="dxa" w:w="3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包含数据包</w:t>
            </w:r>
          </w:p>
        </w:tc>
        <w:tc>
          <w:tcPr>
            <w:tcW w:type="dxa" w:w="19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组合价</w:t>
            </w:r>
          </w:p>
        </w:tc>
        <w:tc>
          <w:tcPr>
            <w:tcW w:type="dxa" w:w="2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对比单订省</w:t>
            </w:r>
          </w:p>
        </w:tc>
      </w:tr>
      <w:tr>
        <w:tc>
          <w:tcPr>
            <w:tcW w:type="dxa" w:w="18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创业者方案</w:t>
            </w:r>
          </w:p>
        </w:tc>
        <w:tc>
          <w:tcPr>
            <w:tcW w:type="dxa" w:w="3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创业商业情报 + AI/GEO + 企业竞品监控 + 技术专利趋势</w:t>
            </w:r>
          </w:p>
        </w:tc>
        <w:tc>
          <w:tcPr>
            <w:tcW w:type="dxa" w:w="19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¥899/月</w:t>
            </w:r>
          </w:p>
        </w:tc>
        <w:tc>
          <w:tcPr>
            <w:tcW w:type="dxa" w:w="2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省 31%</w:t>
            </w:r>
          </w:p>
        </w:tc>
      </w:tr>
      <w:tr>
        <w:tc>
          <w:tcPr>
            <w:tcW w:type="dxa" w:w="18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企业销售方案</w:t>
            </w:r>
          </w:p>
        </w:tc>
        <w:tc>
          <w:tcPr>
            <w:tcW w:type="dxa" w:w="3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企业情报与风控 + 政策与招投标 + 金融宏观数据</w:t>
            </w:r>
          </w:p>
        </w:tc>
        <w:tc>
          <w:tcPr>
            <w:tcW w:type="dxa" w:w="19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¥1499/月</w:t>
            </w:r>
          </w:p>
        </w:tc>
        <w:tc>
          <w:tcPr>
            <w:tcW w:type="dxa" w:w="2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省 32%</w:t>
            </w:r>
          </w:p>
        </w:tc>
      </w:tr>
      <w:tr>
        <w:tc>
          <w:tcPr>
            <w:tcW w:type="dxa" w:w="18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投资研究方案</w:t>
            </w:r>
          </w:p>
        </w:tc>
        <w:tc>
          <w:tcPr>
            <w:tcW w:type="dxa" w:w="3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金融宏观 + 企业风控 + 技术专利趋势 + Web3/Crypto</w:t>
            </w:r>
          </w:p>
        </w:tc>
        <w:tc>
          <w:tcPr>
            <w:tcW w:type="dxa" w:w="19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¥1899/月</w:t>
            </w:r>
          </w:p>
        </w:tc>
        <w:tc>
          <w:tcPr>
            <w:tcW w:type="dxa" w:w="2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省 32%</w:t>
            </w:r>
          </w:p>
        </w:tc>
      </w:tr>
      <w:tr>
        <w:tc>
          <w:tcPr>
            <w:tcW w:type="dxa" w:w="18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教育咨询方案</w:t>
            </w:r>
          </w:p>
        </w:tc>
        <w:tc>
          <w:tcPr>
            <w:tcW w:type="dxa" w:w="33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教育与选校 + 技术专利趋势</w:t>
            </w:r>
          </w:p>
        </w:tc>
        <w:tc>
          <w:tcPr>
            <w:tcW w:type="dxa" w:w="19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¥399/月</w:t>
            </w:r>
          </w:p>
        </w:tc>
        <w:tc>
          <w:tcPr>
            <w:tcW w:type="dxa" w:w="2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省 27%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每个方案页面包含：方案定位说明、数据包卡片网格（可点击跳转详情页）、典型使用流程（3步串联图）、组合定价对比框、典型使用场景列表。</w:t>
      </w:r>
    </w:p>
    <w:p>
      <w:r>
        <w:br w:type="page"/>
      </w:r>
    </w:p>
    <w:p>
      <w:pPr>
        <w:pStyle w:val="Heading2"/>
      </w:pPr>
      <w:r>
        <w:t xml:space="preserve">4.6 定价对比页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功能描述：5 档套餐（免费版/个人版/创业者版/专业版/企业版）的完整功能矩阵对比页，帮助用户在购买前自助比较差异，降低咨询客服的转化阻力。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按月/按年付费切换：按年自动应用 17% 折扣，切换后 5 档套餐头部价格联动刷新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5 档套餐头部卡片：含套餐名、价格、订阅按钮；创业者版标记「最受欢迎」徽章高亮显示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功能矩阵表，按 4 个分组共 19 项对比维度：数据包与额度 / 功能能力 / 团队与权限 / 支持与服务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矩阵单元格支持三种展示形式：✓/− 图标（布尔类功能）、具体数值（如调用次数）、文字说明（如客服支持等级）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底部常见问题 FAQ 区块：套餐变更规则、额度关系、超额处理、私有化部署说明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实现建议：套餐价格与功能矩阵数据应来自统一的后端配置接口，与首页摘要、订阅结账页共享同一数据源，避免三处硬编码导致价格不一致。</w:t>
      </w:r>
    </w:p>
    <w:p>
      <w:pPr>
        <w:pStyle w:val="Heading2"/>
      </w:pPr>
      <w:r>
        <w:t xml:space="preserve">4.7 API 文档中心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功能描述：OpenAPI 风格的开发者文档页，三栏布局（接口导航 / 接口详情 / 代码示例），是开发者评估和接入平台的关键页面。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左侧导航：按数据包分组的接口列表，每项带 GET/POST 方法色块标签，点击切换并高亮当前选中接口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顶部搜索框：支持按接口名称/路径搜索（原型为占位交互，需接入真实搜索索引）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中间主区 - 快速开始页：展示统一认证方式说明（Authorization Header 格式）、通用错误码列表（200/401/403/429/500）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中间主区 - 接口详情页：方法+路径标题、接口说明、请求参数表（含必填标记/类型/说明）、返回字段表、该接口专属错误码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右侧深色代码面板：cURL / Python / Node.js 三种语言 Tab 切换，代码根据当前选中接口自动生成对应请求示例，并附带响应 JSON 示例，均支持一键复制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实现建议：生产环境建议基于 OpenAPI Specification（YAML/JSON）自动生成本页面，可采用 Swagger UI、Redoc 或 Stoplight Elements 等开源方案二次开发主题样式，而非手工维护每个接口的页面内容；多语言代码示例可基于 Spec 中的 path/method/parameters 自动拼装模板，降低接口变更后的文档维护成本。</w:t>
      </w:r>
    </w:p>
    <w:p>
      <w:pPr>
        <w:pStyle w:val="Heading2"/>
      </w:pPr>
      <w:r>
        <w:t xml:space="preserve">4.8 接口状态页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功能描述：展示各服务模块实时运行状态的公开页面，是面向开发者和企业客户建立技术信任的重要背书页面，尤其在企业版销售场景中常被客户要求查看。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总体状态横幅：绿色「所有系统正常运行」/ 橙色「部分服务降级」/ 红色「服务中断」三态展示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可用性统计卡：近 90 天可用性百分比、平均响应时间、近 30 天事件数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服务模块状态列表：核心 API、各数据包 API、AI 报告生成服务、MCP Server 网关、Webhook 推送、用户工作台共 9 个模块，每项含状态色点、近期延迟迷你趋势图（sparkline）、当前延迟数值、状态文字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90 天可用性历史条形图：每日一个色块（绿/橙/红），直观呈现长期稳定性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历史事件列表：事件标题、已解决/调查中状态标签、发生时间段、详细说明（原因与处理结果）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订阅状态更新入口：供用户订阅邮件/Webhook 通知（原型为占位按钮）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实现建议：此页面数据应来自真实监控系统（如自建 Prometheus + Grafana 方案，或接入 Statuspage.io / Better Uptime 等第三方服务）。服务状态判定建议设置明确阈值，例如响应时间超过 1 秒标记「降级」，错误率超过 5% 标记「降级」，连续多次请求失败标记「中断」，并将判定规则文档化供运维团队遵循。</w:t>
      </w:r>
    </w:p>
    <w:p>
      <w:pPr>
        <w:pStyle w:val="Heading1"/>
      </w:pPr>
      <w:r>
        <w:t xml:space="preserve">五、订阅与定价体系</w:t>
      </w:r>
    </w:p>
    <w:p>
      <w:pPr>
        <w:pStyle w:val="Heading2"/>
      </w:pPr>
      <w:r>
        <w:t xml:space="preserve">5.1 五档基础套餐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套餐</w:t>
            </w:r>
          </w:p>
        </w:tc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价格</w:t>
            </w:r>
          </w:p>
        </w:tc>
        <w:tc>
          <w:tcPr>
            <w:tcW w:type="dxa" w:w="6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核心权益</w:t>
            </w:r>
          </w:p>
        </w:tc>
      </w:tr>
      <w:tr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免费版</w:t>
            </w:r>
          </w:p>
        </w:tc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¥0</w:t>
            </w:r>
          </w:p>
        </w:tc>
        <w:tc>
          <w:tcPr>
            <w:tcW w:type="dxa" w:w="6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每日 5-10 次查询；部分公开数据；基础报告（带水印）；不支持 API/批量导出；体验版 MCP</w:t>
            </w:r>
          </w:p>
        </w:tc>
      </w:tr>
      <w:tr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个人版</w:t>
            </w:r>
          </w:p>
        </w:tc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¥49-99/月</w:t>
            </w:r>
          </w:p>
        </w:tc>
        <w:tc>
          <w:tcPr>
            <w:tcW w:type="dxa" w:w="6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每日 100 次查询；个人数据看板；基础 AI 报告；收藏 10-30 个主题；Markdown/PDF 导出；基础 MCP；可用 1-2 个数据包</w:t>
            </w:r>
          </w:p>
        </w:tc>
      </w:tr>
      <w:tr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创业者版</w:t>
            </w:r>
          </w:p>
        </w:tc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¥199-499/月</w:t>
            </w:r>
          </w:p>
        </w:tc>
        <w:tc>
          <w:tcPr>
            <w:tcW w:type="dxa" w:w="6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主力套餐；行业趋势/竞品分析/项目评估；每月 20-50 份 AI 报告；API 低额度；MCP 完整接入；监控 20-50 个对象；报告去水印</w:t>
            </w:r>
          </w:p>
        </w:tc>
      </w:tr>
      <w:tr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专业版</w:t>
            </w:r>
          </w:p>
        </w:tc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¥799-1999/月</w:t>
            </w:r>
          </w:p>
        </w:tc>
        <w:tc>
          <w:tcPr>
            <w:tcW w:type="dxa" w:w="6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多数据包访问；批量查询；高级报告；团队账号；Webhook + 飞书/企微/钉钉通知；私有数据上传分析；品牌白标报告</w:t>
            </w:r>
          </w:p>
        </w:tc>
      </w:tr>
      <w:tr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企业版</w:t>
            </w:r>
          </w:p>
        </w:tc>
        <w:tc>
          <w:tcPr>
            <w:tcW w:type="dxa" w:w="1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¥4999/月起 或 ¥3万-20万/年</w:t>
            </w:r>
          </w:p>
        </w:tc>
        <w:tc>
          <w:tcPr>
            <w:tcW w:type="dxa" w:w="63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高调用量 API；多团队权限；企业风控数据；私有数据接入；自定义报告模板；SLA；专属支持；私有化部署；专属 MCP Server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pStyle w:val="Heading2"/>
      </w:pPr>
      <w:r>
        <w:t xml:space="preserve">5.2 按数据包独立订阅价格参考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20"/>
        <w:gridCol w:w="2620"/>
        <w:gridCol w:w="2620"/>
      </w:tblGrid>
      <w:tr>
        <w:trPr>
          <w:tblHeader/>
        </w:trPr>
        <w:tc>
          <w:tcPr>
            <w:tcW w:type="dxa" w:w="2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数据包</w:t>
            </w:r>
          </w:p>
        </w:tc>
        <w:tc>
          <w:tcPr>
            <w:tcW w:type="dxa" w:w="1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个人价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创业者/团队价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企业价</w:t>
            </w:r>
          </w:p>
        </w:tc>
      </w:tr>
      <w:tr>
        <w:tc>
          <w:tcPr>
            <w:tcW w:type="dxa" w:w="2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创业商业情报包</w:t>
            </w:r>
          </w:p>
        </w:tc>
        <w:tc>
          <w:tcPr>
            <w:tcW w:type="dxa" w:w="1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¥299-399/月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¥1999/月起</w:t>
            </w:r>
          </w:p>
        </w:tc>
      </w:tr>
      <w:tr>
        <w:tc>
          <w:tcPr>
            <w:tcW w:type="dxa" w:w="2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AI/GEO 数据包</w:t>
            </w:r>
          </w:p>
        </w:tc>
        <w:tc>
          <w:tcPr>
            <w:tcW w:type="dxa" w:w="1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¥499/月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¥2999/月起</w:t>
            </w:r>
          </w:p>
        </w:tc>
      </w:tr>
      <w:tr>
        <w:tc>
          <w:tcPr>
            <w:tcW w:type="dxa" w:w="2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企业风控包</w:t>
            </w:r>
          </w:p>
        </w:tc>
        <w:tc>
          <w:tcPr>
            <w:tcW w:type="dxa" w:w="1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不开放个人版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¥699/月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¥4999/月起</w:t>
            </w:r>
          </w:p>
        </w:tc>
      </w:tr>
      <w:tr>
        <w:tc>
          <w:tcPr>
            <w:tcW w:type="dxa" w:w="2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金融宏观包</w:t>
            </w:r>
          </w:p>
        </w:tc>
        <w:tc>
          <w:tcPr>
            <w:tcW w:type="dxa" w:w="1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¥499/月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¥2999/月起</w:t>
            </w:r>
          </w:p>
        </w:tc>
      </w:tr>
      <w:tr>
        <w:tc>
          <w:tcPr>
            <w:tcW w:type="dxa" w:w="2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教育选校包</w:t>
            </w:r>
          </w:p>
        </w:tc>
        <w:tc>
          <w:tcPr>
            <w:tcW w:type="dxa" w:w="1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¥49/月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¥299/月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¥1999/月起</w:t>
            </w:r>
          </w:p>
        </w:tc>
      </w:tr>
      <w:tr>
        <w:tc>
          <w:tcPr>
            <w:tcW w:type="dxa" w:w="2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Web3 研究包</w:t>
            </w:r>
          </w:p>
        </w:tc>
        <w:tc>
          <w:tcPr>
            <w:tcW w:type="dxa" w:w="1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¥499/月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¥2999/月起</w:t>
            </w:r>
          </w:p>
        </w:tc>
      </w:tr>
      <w:tr>
        <w:tc>
          <w:tcPr>
            <w:tcW w:type="dxa" w:w="2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政策招投标包</w:t>
            </w:r>
          </w:p>
        </w:tc>
        <w:tc>
          <w:tcPr>
            <w:tcW w:type="dxa" w:w="1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¥199/月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¥799/月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¥4999/月起</w:t>
            </w:r>
          </w:p>
        </w:tc>
      </w:tr>
      <w:tr>
        <w:tc>
          <w:tcPr>
            <w:tcW w:type="dxa" w:w="25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技术专利包</w:t>
            </w:r>
          </w:p>
        </w:tc>
        <w:tc>
          <w:tcPr>
            <w:tcW w:type="dxa" w:w="1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¥199/月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¥999/月</w:t>
            </w:r>
          </w:p>
        </w:tc>
        <w:tc>
          <w:tcPr>
            <w:tcW w:type="dxa" w:w="26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¥5999/月起</w:t>
            </w:r>
          </w:p>
        </w:tc>
      </w:tr>
    </w:tbl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color w:val="5F5E5A"/>
          <w:sz w:val="21"/>
          <w:szCs w:val="21"/>
        </w:rPr>
        <w:t xml:space="preserve">年付统一享受约 17% 折扣（相当于 10 个月的价格），结账页面已实现自动折扣计算逻辑。</w:t>
      </w:r>
    </w:p>
    <w:p>
      <w:r>
        <w:br w:type="page"/>
      </w:r>
    </w:p>
    <w:p>
      <w:pPr>
        <w:pStyle w:val="Heading1"/>
      </w:pPr>
      <w:r>
        <w:t xml:space="preserve">六、技术架构与开发建议</w:t>
      </w:r>
    </w:p>
    <w:p>
      <w:pPr>
        <w:pStyle w:val="Heading2"/>
      </w:pPr>
      <w:r>
        <w:t xml:space="preserve">6.1 设计系统与 UI/UX 规范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本节说明原型中采用的视觉设计系统与交互模式，作为正式 UI 开发阶段的设计标注依据，目的是让设计还原度更高、组件可复用性更强，减少前端与设计之间的来回沟通成本。</w:t>
      </w:r>
    </w:p>
    <w:p>
      <w:pPr>
        <w:pStyle w:val="Heading3"/>
      </w:pPr>
      <w:r>
        <w:t xml:space="preserve">6.1.1 视觉风格基调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整体视觉语言为「简洁、专业、数据驱动」：浅色背景、0.5px 细边框圆角卡片、克制的色彩使用（大面积留白 + 少量强调色），避免视觉噪音干扰对数据本身的关注。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主操作色：绿色 #1D9E75（主按钮、关键强调、成功状态），深绿色 #0F6E56 用于文字与图标强调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中性色：背景使用浅灰色系，边框统一使用 0.5px 描边（非 1px），营造轻量、克制的卡片层次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状态色：绿色=正常/成功，橙色 #EF9F27=警告/降级/中风险，红色 #E24B4A=错误/告警/高风险，统一应用于状态点、徽章、进度条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圆角规范：卡片与按钮使用中到大圆角（border-radius 8-12px 量级），区别于尖角的严肃金融感，传递更友好的产品调性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字体：中文字体建议使用思源黑体/苹方等无衬线字体族；代码与数据字段统一使用等宽字体（monospace），便于与正文区分</w:t>
      </w:r>
    </w:p>
    <w:p>
      <w:pPr>
        <w:pStyle w:val="Heading3"/>
      </w:pPr>
      <w:r>
        <w:t xml:space="preserve">6.1.2 数据包主题色系统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10 个数据包采用各自独立的主题色，用于图标背景、强调色和 Demo 交互元素，帮助用户在多个数据包间快速建立视觉记忆和分类认知，同一数据包在「市场列表卡片 → 详情页 → 解决方案页引用」中应保持主题色一致。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创业商业情报包：绿色系（图标背景 #E1F5EE，图标色 #0F6E56）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AI / GEO 数据包：蓝色系（图标背景 #E6F1FB，图标色 #185FA5）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企业情报与风控包：橙色系（图标背景 #FAEEDA，图标色 #854F0B）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金融宏观数据包：紫色系（图标背景 #EEEDFE，图标色 #534AB7）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Web3 / Crypto 研究包：棕橙色系（图标背景 #FAECE7，图标色 #993C1D）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政策与招投标包：深绿色系（图标背景 #E1F5EE，图标色 #085041）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技术专利趋势包：灰色系（图标背景 #F1EFE8，图标色 #444441）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教育与选校包：粉色系（图标背景 #FBEAF0，图标色 #993556）</w:t>
      </w:r>
    </w:p>
    <w:p>
      <w:pPr>
        <w:pStyle w:val="Heading3"/>
      </w:pPr>
      <w:r>
        <w:t xml:space="preserve">6.1.3 核心组件库清单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以下组件在多个页面中重复出现，建议作为设计系统的基础组件优先沉淀，由设计与前端共同定义组件 API（props/variants），而非每个页面各自实现一遍。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状态标签 Badge：已上线（绿）/ 热门（橙）/ 即将上线·规划中（灰），用于数据包卡片、详情页 Hero 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进度条 Progress Bar：用于额度使用展示，需支持接近上限时自动变色（如超过 80% 变橙色）的阈值规则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评分圆环 Score Ring：SVG 环形进度条，用于 AI/GEO 可见度评分、市场机会评分等 0-100 评分展示，需支持数值变化时的过渡动画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迷你趋势图 Sparkline：用于接口状态页的延迟趋势展示，要求轻量、无坐标轴、仅表达趋势方向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数据来源卡片：区分「公开来源」（绿色背景）与「第三方授权」（橙色背景）两种视觉变体，在 10 个数据包详情页中复用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风险等级标记：低/中/高三态色彩系统（绿/橙/红），应用于企业风控、Web3 项目风险等场景，需在产品全局保持色彩语义一致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流式文本输出容器：用于 AI 报告生成器的打字机效果展示区域，需支持逐字符/逐 token 渲染与光标闪烁动效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代码块组件：深色主题（VS Code 风格配色），支持多语言 Tab 切换与一键复制，用于 API 文档中心与 MCP 配置指南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数据表格：参数表/字段表/调用日志表统一样式，要求支持必填标记、类型标签（等宽字体+蓝色）、状态码颜色区分</w:t>
      </w:r>
    </w:p>
    <w:p>
      <w:pPr>
        <w:pStyle w:val="Heading3"/>
      </w:pPr>
      <w:r>
        <w:t xml:space="preserve">6.1.4 关键交互模式说明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以下交互模式在原型中已验证可用性，正式开发时建议保留这些交互逻辑，它们直接影响产品的可用性与转化率。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联动刷新：套餐/计费周期切换时，订单摘要、价格、数据包数量上限需在 100ms 内同步刷新，不应有可感知的延迟或页面跳动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级联限制：订阅结账页中，切换到额度更小的套餐时，已勾选的数据包需自动裁剪到新上限，并给出视觉反馈（如轻微的退出动画），而非静默丢弃用户的选择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渐进式数据展示：AI 报告生成器采用「步骤动画→流式文本」两段式反馈，避免长耗时操作下的空白等待，每个数据调用步骤应给出可识别的工具名称，建立用户对底层能力的信任感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空状态设计：数据产品市场页筛选无结果、监控任务为空等场景需有专门的空状态插画/文案，引导用户调整筛选条件或采取下一步行动，而非展示空白页面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敏感信息保护交互：API Key 默认掩码展示，需点击才能显示完整值；正式实现需比原型更严格（见 8.3.2 节安全建议），但「默认隐藏、按需显示」的交互模式应保留</w:t>
      </w:r>
    </w:p>
    <w:p>
      <w:pPr>
        <w:pStyle w:val="Heading3"/>
      </w:pPr>
      <w:r>
        <w:t xml:space="preserve">6.1.5 响应式与跨端要求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当前原型主要面向桌面端宽屏布局设计（如工作台的三栏布局、数据包详情页的双栏布局）。正式开发时需补充以下适配设计：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移动端导航：工作台左侧固定导航在窄屏下需收起为可展开的汉堡菜单或底部 Tab 导航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API 文档中心三栏布局：移动端建议改为可切换的单栏视图（导航/详情/代码示例分别全屏展示，通过 Tab 或滑动切换）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数据表格：窄屏下参数表、调用日志表等多列表格需考虑横向滚动或卡片化降级展示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图表组件：Chart.js 图表与 SVG 评分环需在不同宽度下保持可读性，避免标签重叠</w:t>
      </w:r>
    </w:p>
    <w:p>
      <w:pPr>
        <w:pStyle w:val="Heading3"/>
      </w:pPr>
      <w:r>
        <w:t xml:space="preserve">6.1.6 可访问性（Accessibility）建议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所有图标按钮需提供 aria-label，避免仅依赖图形传达功能（原型中已对关键操作图标添加 aria-hidden 与文字标签组合）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状态色不应作为唯一的信息传达方式，需配合文字标签（如「正常运行」而非仅一个绿点），保证色弱用户也能正确理解状态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表单输入（注册、结账）需提供清晰的错误提示文案与焦点管理，密码强度等实时校验需同时提供文字说明而非仅靠颜色条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深色代码块与浅色页面背景的对比度需符合 WCAG AA 标准（建议对比度 ≥ 4.5:1）</w:t>
      </w:r>
    </w:p>
    <w:p>
      <w:pPr>
        <w:pStyle w:val="Heading2"/>
      </w:pPr>
      <w:r>
        <w:t xml:space="preserve">6.2 前端技术栈建议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当前阶段使用 HTML/CSS/JavaScript 完成交互原型验证，含 CSS 变量统一设计系统、Tabler Icons 图标库、Chart.js 图表库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正式开发建议采用 React/Next.js + Tailwind CSS，复用原型中的设计 Token（颜色、间距、圆角）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MCP 工具兼容目标：Claude Desktop、Cursor、Cline、Windsurf</w:t>
      </w:r>
    </w:p>
    <w:p>
      <w:pPr>
        <w:pStyle w:val="Heading2"/>
      </w:pPr>
      <w:r>
        <w:t xml:space="preserve">6.3 后端模块划分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数据中台服务：数据源接入、清洗管道、质量评分、版本管理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API 网关层：统一鉴权（API Key）、限流、调用日志、计量计费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AI 分析服务：调用 Claude API 生成报告，支持流式输出与多模块组合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MCP Server：基于 Model Context Protocol 标准封装各数据包工具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用户与订阅服务：账号体系、套餐管理、支付集成（微信/支付宝/银行卡）、发票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通知服务：邮件、企业微信、飞书、Webhook 多渠道告警推送</w:t>
      </w:r>
    </w:p>
    <w:p>
      <w:pPr>
        <w:pStyle w:val="Heading2"/>
      </w:pPr>
      <w:r>
        <w:t xml:space="preserve">6.4 数据可信度标注规范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每条数据原则上需标注以下元信息，用于在前端展示「数据来源」「更新时间」等模块，并支撑企业用户的信任建立：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来源（公开 / 第三方授权）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时间戳与更新频率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是否公开可商用 / 是否需要二次授权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数据质量评分</w:t>
      </w:r>
    </w:p>
    <w:p>
      <w:r>
        <w:br w:type="page"/>
      </w:r>
    </w:p>
    <w:p>
      <w:pPr>
        <w:pStyle w:val="Heading1"/>
      </w:pPr>
      <w:r>
        <w:t xml:space="preserve">七、上线路线图</w:t>
      </w:r>
    </w:p>
    <w:p>
      <w:pPr>
        <w:pStyle w:val="Heading2"/>
      </w:pPr>
      <w:r>
        <w:t xml:space="preserve">7.1 第一阶段：MVP（已完成原型设计）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聚焦母平台架子 + 3 个核心数据包，目标是验证「数据 + API + AI报告 + MCP」的核心价值闭环：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母平台：首页、注册登录、订阅结账、用户工作台、API Key 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数据包：创业商业情报包、AI/GEO 数据包、企业情报与竞品监控包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核心工具：AI 报告生成器、MCP 接入指南</w:t>
      </w:r>
    </w:p>
    <w:p>
      <w:pPr>
        <w:pStyle w:val="Heading2"/>
      </w:pPr>
      <w:r>
        <w:t xml:space="preserve">7.2 第二阶段：扩展数据包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在 MVP 验证商业模式后，依次上架已完成原型设计的数据包，增加平台内容厚度与付费场景：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金融宏观数据包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Web3 / Crypto 研究数据包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政策与招投标数据包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技术专利趋势数据包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8"/>
          <w:sz w:val="21"/>
          <w:szCs w:val="21"/>
        </w:rPr>
        <w:t xml:space="preserve">教育与选校数据包</w:t>
      </w:r>
    </w:p>
    <w:p>
      <w:pPr>
        <w:pStyle w:val="Heading2"/>
      </w:pPr>
      <w:r>
        <w:t xml:space="preserve">7.3 第三阶段：行业解决方案与生态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已完成 4 个行业解决方案页面设计：创业者方案、企业销售方案、投资研究方案、教育咨询方案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规划补充：城市/商业选址数据包、AI 工具与数字产品数据包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规划补充页面：定价对比页（5档套餐完整功能矩阵）、接口状态页、企业定制咨询页</w:t>
      </w:r>
    </w:p>
    <w:p>
      <w:pPr>
        <w:pStyle w:val="Heading2"/>
      </w:pPr>
      <w:r>
        <w:t xml:space="preserve">7.4 内容获客策略</w:t>
      </w:r>
    </w:p>
    <w:p>
      <w:pPr>
        <w:spacing w:after="160"/>
      </w:pPr>
      <w:r>
        <w:rPr>
          <w:i w:val="false"/>
          <w:iCs w:val="false"/>
          <w:color w:val="1A1A18"/>
          <w:sz w:val="21"/>
          <w:szCs w:val="21"/>
        </w:rPr>
        <w:t xml:space="preserve">建议在产品上线初期同步建设内容矩阵，覆盖以下主题以承接自然搜索流量：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如何判断一个创业项目是否值得做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如何分析竞品网站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什么是 GEO，为什么品牌需要关注 AI 搜索可见度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企业尽调数据怎么查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8"/>
          <w:sz w:val="21"/>
          <w:szCs w:val="21"/>
        </w:rPr>
        <w:t xml:space="preserve">创业者常用数据源清单</w:t>
      </w:r>
    </w:p>
    <w:p>
      <w:pPr>
        <w:pBdr>
          <w:bottom w:val="single" w:color="DDDAD2" w:sz="4" w:space="1"/>
        </w:pBdr>
        <w:spacing w:after="240" w:before="120"/>
      </w:pPr>
      <w:r>
        <w:t xml:space="preserve"/>
      </w:r>
    </w:p>
    <w:p>
      <w:pPr>
        <w:spacing w:after="160"/>
      </w:pPr>
      <w:r>
        <w:rPr>
          <w:i/>
          <w:iCs/>
          <w:color w:val="5F5E5A"/>
          <w:sz w:val="21"/>
          <w:szCs w:val="21"/>
        </w:rPr>
        <w:t xml:space="preserve">本文档基于已完成的全部交互原型整理而成，建议与设计、研发团队对照原型逐项评审后转化为详细的功能规格说明书（FSD）与接口设计文档。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第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5E5A"/>
        <w:sz w:val="16"/>
        <w:szCs w:val="16"/>
      </w:rPr>
      <w:t xml:space="preserve"> 页 / 共 </w:t>
    </w:r>
    <w:r>
      <w:rPr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5E5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AD2" w:sz="4" w:space="4"/>
      </w:pBdr>
      <w:tabs>
        <w:tab w:val="right" w:pos="9026"/>
      </w:tabs>
    </w:pPr>
    <w:r>
      <w:rPr>
        <w:color w:val="5F5E5A"/>
        <w:sz w:val="16"/>
        <w:szCs w:val="16"/>
      </w:rPr>
      <w:t xml:space="preserve">InsightHub Data · 产品需求文档</w:t>
    </w:r>
    <w:r>
      <w:rPr>
        <w:color w:val="5F5E5A"/>
        <w:sz w:val="16"/>
        <w:szCs w:val="16"/>
      </w:rPr>
      <w:t xml:space="preserve">	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8" w:space="6"/>
      </w:pBd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A1A1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D9E75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InsightHub Data — 产品需求文档（PRD）</dc:title>
  <dc:creator>InsightHub Data</dc:creator>
  <cp:lastModifiedBy>Un-named</cp:lastModifiedBy>
  <cp:revision>1</cp:revision>
  <dcterms:created xsi:type="dcterms:W3CDTF">2026-06-20T05:23:00.965Z</dcterms:created>
  <dcterms:modified xsi:type="dcterms:W3CDTF">2026-06-20T05:23:00.965Z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