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UNITGROWTH</w:t>
      </w:r>
    </w:p>
    <w:p>
      <w:pPr>
        <w:pStyle w:val="Title"/>
        <w:jc w:val="center"/>
      </w:pPr>
      <w:r>
        <w:t>Conditions generales de services et de missions freelance</w:t>
      </w:r>
    </w:p>
    <w:p>
      <w:pPr>
        <w:jc w:val="center"/>
      </w:pPr>
      <w:r>
        <w:t>Cadre B2B applicable aux missions proposees via UNITGROWTH</w:t>
      </w:r>
    </w:p>
    <w:p>
      <w:pPr>
        <w:jc w:val="center"/>
      </w:pPr>
      <w:r>
        <w:t>Version 3.0 - personnalisee - 11 septembre 2026</w:t>
      </w:r>
    </w:p>
    <w:tbl>
      <w:tblPr>
        <w:tblW w:type="auto" w:w="0"/>
        <w:jc w:val="center"/>
        <w:tblLook w:firstColumn="1" w:firstRow="1" w:lastColumn="0" w:lastRow="0" w:noHBand="0" w:noVBand="1" w:val="04A0"/>
      </w:tblPr>
      <w:tblGrid>
        <w:gridCol w:w="9858"/>
      </w:tblGrid>
      <w:tr>
        <w:tc>
          <w:tcPr>
            <w:tcW w:type="dxa" w:w="9858"/>
            <w:shd w:fill="F2F4F6"/>
            <w:tcMar>
              <w:top w:w="150" w:type="dxa"/>
              <w:start w:w="180" w:type="dxa"/>
              <w:bottom w:w="150" w:type="dxa"/>
              <w:end w:w="180" w:type="dxa"/>
            </w:tcMar>
          </w:tcPr>
          <w:p>
            <w:r>
              <w:t>À vérifier avant publication. Les informations sociétaires principales sont renseignées. Les paramètres techniques, cookies, outils d’IA, paiements et éventuels transferts de données doivent toujours correspondre au fonctionnement réel de UNITGROWTH.</w:t>
            </w:r>
          </w:p>
        </w:tc>
      </w:tr>
    </w:tbl>
    <w:p>
      <w:r/>
    </w:p>
    <w:p>
      <w:pPr>
        <w:pStyle w:val="Heading1"/>
      </w:pPr>
      <w:r>
        <w:t>1. Principe</w:t>
      </w:r>
    </w:p>
    <w:p>
      <w:r>
        <w:t>Les presentes conditions constituent le cadre commun des missions proposees via UNITGROWTH. Elles sont complétées par les conditions particulières ou par le modèle de bon de mission déjà utilisé par IAWeb.dev / HAVET DIGITAL. En cas de contradiction, les conditions particulieres du bon de mission priment pour la mission concernee.</w:t>
      </w:r>
    </w:p>
    <w:p>
      <w:pPr>
        <w:pStyle w:val="Heading1"/>
      </w:pPr>
      <w:r>
        <w:t>2. Entite contractante</w:t>
      </w:r>
    </w:p>
    <w:p>
      <w:r>
        <w:t>L'entite contractante est identifiee sur chaque document de mission : IAWeb.dev (Maroc), HAVET DIGITAL (France), ou les deux si cela est expressement prevu. L'entite contractante signe ou confirme la mission et en assure le paiement, sauf mention expresse d'un payeur distinct intervenant pour son compte.</w:t>
      </w:r>
    </w:p>
    <w:p>
      <w:pPr>
        <w:pStyle w:val="Heading1"/>
      </w:pPr>
      <w:r>
        <w:t>3. Formation de la mission</w:t>
      </w:r>
    </w:p>
    <w:p>
      <w:r>
        <w:t>La mission est formee lorsque les conditions particulieres sont acceptees par le freelance et confirmees par l'entite contractante. Une carte de mission, un message exploratoire ou la mention « forfait a determiner » ne constitue pas, a elle seule, un engagement de commande.</w:t>
      </w:r>
    </w:p>
    <w:p>
      <w:pPr>
        <w:pStyle w:val="Heading1"/>
      </w:pPr>
      <w:r>
        <w:t>4. Contenu du document de mission</w:t>
      </w:r>
    </w:p>
    <w:p>
      <w:pPr>
        <w:pStyle w:val="ListBullet"/>
        <w:spacing w:after="40"/>
      </w:pPr>
      <w:r>
        <w:t>Entite contractante et interlocuteur.</w:t>
      </w:r>
    </w:p>
    <w:p>
      <w:pPr>
        <w:pStyle w:val="ListBullet"/>
        <w:spacing w:after="40"/>
      </w:pPr>
      <w:r>
        <w:t>Objet, perimetre et livrables.</w:t>
      </w:r>
    </w:p>
    <w:p>
      <w:pPr>
        <w:pStyle w:val="ListBullet"/>
        <w:spacing w:after="40"/>
      </w:pPr>
      <w:r>
        <w:t>Dates, jalons et disponibilite attendue.</w:t>
      </w:r>
    </w:p>
    <w:p>
      <w:pPr>
        <w:pStyle w:val="ListBullet"/>
        <w:spacing w:after="40"/>
      </w:pPr>
      <w:r>
        <w:t>Prix ou mode de calcul, devise et taxes applicables.</w:t>
      </w:r>
    </w:p>
    <w:p>
      <w:pPr>
        <w:pStyle w:val="ListBullet"/>
        <w:spacing w:after="40"/>
      </w:pPr>
      <w:r>
        <w:t>Conditions de facturation et paiement.</w:t>
      </w:r>
    </w:p>
    <w:p>
      <w:pPr>
        <w:pStyle w:val="ListBullet"/>
        <w:spacing w:after="40"/>
      </w:pPr>
      <w:r>
        <w:t>Criteres et delai de validation des livrables.</w:t>
      </w:r>
    </w:p>
    <w:p>
      <w:pPr>
        <w:pStyle w:val="ListBullet"/>
        <w:spacing w:after="40"/>
      </w:pPr>
      <w:r>
        <w:t>Confidentialite et securite.</w:t>
      </w:r>
    </w:p>
    <w:p>
      <w:pPr>
        <w:pStyle w:val="ListBullet"/>
        <w:spacing w:after="40"/>
      </w:pPr>
      <w:r>
        <w:t>Regime de propriete intellectuelle.</w:t>
      </w:r>
    </w:p>
    <w:p>
      <w:pPr>
        <w:pStyle w:val="ListBullet"/>
        <w:spacing w:after="40"/>
      </w:pPr>
      <w:r>
        <w:t>Conditions de report, suspension et resiliation.</w:t>
      </w:r>
    </w:p>
    <w:p>
      <w:pPr>
        <w:pStyle w:val="ListBullet"/>
        <w:spacing w:after="40"/>
      </w:pPr>
      <w:r>
        <w:t>Droit applicable et reglement des litiges.</w:t>
      </w:r>
    </w:p>
    <w:p>
      <w:pPr>
        <w:pStyle w:val="Heading1"/>
      </w:pPr>
      <w:r>
        <w:t>5. Prix et devises</w:t>
      </w:r>
    </w:p>
    <w:p>
      <w:r>
        <w:t>Le prix peut etre fixe au forfait, au temps passe ou selon des jalons. Avant validation definitive, une mission peut etre affichee avec la mention « Forfait a determiner ». Les devises utilisees peuvent notamment etre EUR, MAD ou MGA selon la mission et l'entite contractante.</w:t>
      </w:r>
    </w:p>
    <w:p>
      <w:pPr>
        <w:pStyle w:val="Heading1"/>
      </w:pPr>
      <w:r>
        <w:t>6. Facturation</w:t>
      </w:r>
    </w:p>
    <w:p>
      <w:r>
        <w:t>Le freelance etablit une facture conforme au droit et au statut qui lui sont applicables, sauf mecanisme licite d'autofacturation expressement convenu. Les coordonnees de facturation figurent dans le document de mission ou sont communiquees au moment opportun.</w:t>
      </w:r>
    </w:p>
    <w:p>
      <w:pPr>
        <w:pStyle w:val="Heading1"/>
      </w:pPr>
      <w:r>
        <w:t>7. Paiement</w:t>
      </w:r>
    </w:p>
    <w:p>
      <w:r>
        <w:t>Selon la mission, le paiement peut prendre la forme d'un acompte, d'un paiement hebdomadaire, mensuel, par jalon ou a la livraison. Le document de mission precise le calendrier, les conditions de validation et le delai de paiement. Les frais de transfert ou conversion doivent etre indiques lorsqu'ils sont a la charge du freelance.</w:t>
      </w:r>
    </w:p>
    <w:p>
      <w:pPr>
        <w:pStyle w:val="Heading1"/>
      </w:pPr>
      <w:r>
        <w:t>8. Compte sequestre</w:t>
      </w:r>
    </w:p>
    <w:p>
      <w:r>
        <w:t>UNITGROWTH ne doit annoncer un compte sequestre que si un service de sequestre ou de reservation de fonds est effectivement operationnel. Dans ce cas, le prestataire, les conditions de blocage/liberation, les frais et le traitement des litiges sont presentes avant acceptation de la mission.</w:t>
      </w:r>
    </w:p>
    <w:p>
      <w:pPr>
        <w:pStyle w:val="Heading1"/>
      </w:pPr>
      <w:r>
        <w:t>9. Validation et corrections</w:t>
      </w:r>
    </w:p>
    <w:p>
      <w:r>
        <w:t>Les livrables sont verifies selon les criteres convenus. Les corrections correspondant au perimetre initial sont realisees dans des conditions raisonnables. Toute evolution significative hors perimetre fait l'objet d'un accord complementaire sur le prix et le calendrier.</w:t>
      </w:r>
    </w:p>
    <w:p>
      <w:pPr>
        <w:pStyle w:val="Heading1"/>
      </w:pPr>
      <w:r>
        <w:t>10. Obligations du freelance</w:t>
      </w:r>
    </w:p>
    <w:p>
      <w:pPr>
        <w:pStyle w:val="ListBullet"/>
        <w:spacing w:after="40"/>
      </w:pPr>
      <w:r>
        <w:t>Executer la mission avec diligence et selon les regles de l'art.</w:t>
      </w:r>
    </w:p>
    <w:p>
      <w:pPr>
        <w:pStyle w:val="ListBullet"/>
        <w:spacing w:after="40"/>
      </w:pPr>
      <w:r>
        <w:t>Respecter les delais et signaler rapidement les blocages.</w:t>
      </w:r>
    </w:p>
    <w:p>
      <w:pPr>
        <w:pStyle w:val="ListBullet"/>
        <w:spacing w:after="40"/>
      </w:pPr>
      <w:r>
        <w:t>Proteger les acces et informations confidentielles.</w:t>
      </w:r>
    </w:p>
    <w:p>
      <w:pPr>
        <w:pStyle w:val="ListBullet"/>
        <w:spacing w:after="40"/>
      </w:pPr>
      <w:r>
        <w:t>Respecter les regles de securite et de protection des donnees.</w:t>
      </w:r>
    </w:p>
    <w:p>
      <w:pPr>
        <w:pStyle w:val="ListBullet"/>
        <w:spacing w:after="40"/>
      </w:pPr>
      <w:r>
        <w:t>Utiliser uniquement des elements tiers dont les licences sont compatibles avec la mission.</w:t>
      </w:r>
    </w:p>
    <w:p>
      <w:pPr>
        <w:pStyle w:val="ListBullet"/>
        <w:spacing w:after="40"/>
      </w:pPr>
      <w:r>
        <w:t>Informer l'entite contractante de tout conflit d'interets significatif.</w:t>
      </w:r>
    </w:p>
    <w:p>
      <w:pPr>
        <w:pStyle w:val="Heading1"/>
      </w:pPr>
      <w:r>
        <w:t>11. Obligations de l'entite contractante</w:t>
      </w:r>
    </w:p>
    <w:p>
      <w:pPr>
        <w:pStyle w:val="ListBullet"/>
        <w:spacing w:after="40"/>
      </w:pPr>
      <w:r>
        <w:t>Fournir les informations et acces necessaires.</w:t>
      </w:r>
    </w:p>
    <w:p>
      <w:pPr>
        <w:pStyle w:val="ListBullet"/>
        <w:spacing w:after="40"/>
      </w:pPr>
      <w:r>
        <w:t>Designer un interlocuteur et formuler les retours utiles.</w:t>
      </w:r>
    </w:p>
    <w:p>
      <w:pPr>
        <w:pStyle w:val="ListBullet"/>
        <w:spacing w:after="40"/>
      </w:pPr>
      <w:r>
        <w:t>Valider ou motiver les reserves dans un delai raisonnable.</w:t>
      </w:r>
    </w:p>
    <w:p>
      <w:pPr>
        <w:pStyle w:val="ListBullet"/>
        <w:spacing w:after="40"/>
      </w:pPr>
      <w:r>
        <w:t>Payer les sommes dues selon les conditions convenues.</w:t>
      </w:r>
    </w:p>
    <w:p>
      <w:pPr>
        <w:pStyle w:val="ListBullet"/>
        <w:spacing w:after="40"/>
      </w:pPr>
      <w:r>
        <w:t>Informer le freelance des obligations de securite, confidentialite et conformite propres au projet.</w:t>
      </w:r>
    </w:p>
    <w:p>
      <w:pPr>
        <w:pStyle w:val="Heading1"/>
      </w:pPr>
      <w:r>
        <w:t>12. Propriete intellectuelle</w:t>
      </w:r>
    </w:p>
    <w:p>
      <w:r>
        <w:t>Les droits sur les livrables sont definis dans le document de mission. La cession ou licence doit identifier les droits concernes, les usages autorises, la duree et le territoire lorsqu'ils sont juridiquement requis. Les composants preexistants du freelance et les logiciels open source restent soumis a leur regime propre.</w:t>
      </w:r>
    </w:p>
    <w:p>
      <w:pPr>
        <w:pStyle w:val="Heading1"/>
      </w:pPr>
      <w:r>
        <w:t>13. Confidentialite</w:t>
      </w:r>
    </w:p>
    <w:p>
      <w:r>
        <w:t>Les informations non publiques relatives aux clients, projets, logiciels, donnees, strategies, acces et documents sont confidentielles. Le freelance les utilise uniquement pour la mission et met en place des mesures raisonnables de protection. La duree post-contractuelle est precisee dans le document de mission ou l'accord de confidentialite applicable.</w:t>
      </w:r>
    </w:p>
    <w:p>
      <w:pPr>
        <w:pStyle w:val="Heading1"/>
      </w:pPr>
      <w:r>
        <w:t>14. Donnees personnelles</w:t>
      </w:r>
    </w:p>
    <w:p>
      <w:r>
        <w:t>Si le freelance traite des donnees personnelles pour le compte de l'entite contractante ou d'un client, l'annexe de traitement de donnees ou un accord equivalent doit etre accepte avant le traitement.</w:t>
      </w:r>
    </w:p>
    <w:p>
      <w:pPr>
        <w:pStyle w:val="Heading1"/>
      </w:pPr>
      <w:r>
        <w:t>15. Annulation et resiliation</w:t>
      </w:r>
    </w:p>
    <w:p>
      <w:r>
        <w:t>Les consequences d'une annulation ou d'un report sont prevues dans le document de mission. En cas de manquement grave, la mission peut etre resiliee selon le droit applicable, sous reserve du paiement des prestations valablement realisees et acceptees, sauf faute justifiant une autre consequence.</w:t>
      </w:r>
    </w:p>
    <w:p>
      <w:pPr>
        <w:pStyle w:val="Heading1"/>
      </w:pPr>
      <w:r>
        <w:t>16. Responsabilite</w:t>
      </w:r>
    </w:p>
    <w:p>
      <w:r>
        <w:t>Chaque partie repond des dommages directs qu'elle cause par sa faute dans les limites autorisees par la loi et le contrat. Toute limitation de responsabilite doit etre adaptee a la nature de la mission et ne peut neutraliser les responsabilites qui ne peuvent legalement etre limitees.</w:t>
      </w:r>
    </w:p>
    <w:p>
      <w:pPr>
        <w:pStyle w:val="Heading1"/>
      </w:pPr>
      <w:r>
        <w:t>17. Fiscalite, statut et assurances</w:t>
      </w:r>
    </w:p>
    <w:p>
      <w:r>
        <w:t>Le freelance demeure responsable de son immatriculation, de ses obligations fiscales et sociales et, lorsque cela est necessaire, de ses assurances professionnelles dans son pays de residence ou d'etablissement.</w:t>
      </w:r>
    </w:p>
    <w:p>
      <w:pPr>
        <w:pStyle w:val="Heading1"/>
      </w:pPr>
      <w:r>
        <w:t>18. Droit applicable</w:t>
      </w:r>
    </w:p>
    <w:p>
      <w:r>
        <w:t>Le droit applicable et la juridiction ou le mecanisme de resolution des litiges sont definis dans le document de mission en fonction de l'entite contractante et de la situation du freelance.</w:t>
      </w:r>
    </w:p>
    <w:sectPr w:rsidR="00FC693F" w:rsidRPr="0006063C" w:rsidSect="00034616">
      <w:footerReference w:type="default" r:id="rId9"/>
      <w:headerReference w:type="default" r:id="rId10"/>
      <w:pgSz w:w="12240" w:h="15840"/>
      <w:pgMar w:top="113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UNITGROWTH - Pack juridique</w:t>
    </w:r>
  </w:p>
  <w:p>
    <w:pP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4181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4181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418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181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