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UNITGROWTH</w:t>
      </w:r>
    </w:p>
    <w:p w:rsidR="00000000" w:rsidDel="00000000" w:rsidP="00000000" w:rsidRDefault="00000000" w:rsidRPr="00000000" w14:paraId="00000002">
      <w:pPr>
        <w:pStyle w:val="Title"/>
        <w:jc w:val="center"/>
        <w:rPr/>
      </w:pPr>
      <w:r w:rsidDel="00000000" w:rsidR="00000000" w:rsidRPr="00000000">
        <w:rPr>
          <w:rtl w:val="0"/>
        </w:rPr>
        <w:t xml:space="preserve">Politique de confidentialite</w:t>
      </w:r>
    </w:p>
    <w:p w:rsidR="00000000" w:rsidDel="00000000" w:rsidP="00000000" w:rsidRDefault="00000000" w:rsidRPr="00000000" w14:paraId="00000003">
      <w:pPr>
        <w:jc w:val="center"/>
        <w:rPr/>
      </w:pPr>
      <w:r w:rsidDel="00000000" w:rsidR="00000000" w:rsidRPr="00000000">
        <w:rPr>
          <w:rtl w:val="0"/>
        </w:rPr>
        <w:t xml:space="preserve">UNITGROWTH - candidats, freelances, visiteurs et utilisateurs</w:t>
      </w:r>
    </w:p>
    <w:p w:rsidR="00000000" w:rsidDel="00000000" w:rsidP="00000000" w:rsidRDefault="00000000" w:rsidRPr="00000000" w14:paraId="00000004">
      <w:pPr>
        <w:jc w:val="center"/>
        <w:rPr/>
      </w:pPr>
      <w:r w:rsidDel="00000000" w:rsidR="00000000" w:rsidRPr="00000000">
        <w:rPr>
          <w:rtl w:val="0"/>
        </w:rPr>
        <w:t xml:space="preserve">Version 3.0 - personnalisee - 11 septembre 2026</w:t>
      </w:r>
    </w:p>
    <w:tbl>
      <w:tblPr>
        <w:tblStyle w:val="Table1"/>
        <w:tblW w:w="9900.0" w:type="dxa"/>
        <w:jc w:val="center"/>
        <w:tblLayout w:type="fixed"/>
        <w:tblLook w:val="0400"/>
      </w:tblPr>
      <w:tblGrid>
        <w:gridCol w:w="9900"/>
        <w:tblGridChange w:id="0">
          <w:tblGrid>
            <w:gridCol w:w="9900"/>
          </w:tblGrid>
        </w:tblGridChange>
      </w:tblGrid>
      <w:tr>
        <w:trPr>
          <w:cantSplit w:val="0"/>
          <w:tblHeader w:val="0"/>
        </w:trPr>
        <w:tc>
          <w:tcPr>
            <w:shd w:fill="f2f4f6" w:val="clear"/>
            <w:tcMar>
              <w:top w:w="150.0" w:type="dxa"/>
              <w:bottom w:w="150.0" w:type="dxa"/>
            </w:tcMar>
          </w:tcPr>
          <w:p w:rsidR="00000000" w:rsidDel="00000000" w:rsidP="00000000" w:rsidRDefault="00000000" w:rsidRPr="00000000" w14:paraId="00000005">
            <w:pPr>
              <w:rPr/>
            </w:pPr>
            <w:r w:rsidDel="00000000" w:rsidR="00000000" w:rsidRPr="00000000">
              <w:rPr>
                <w:rtl w:val="0"/>
              </w:rPr>
              <w:t xml:space="preserve">À vérifier avant publication. Les informations sociétaires principales sont renseignées. Les paramètres techniques, cookies, outils d’IA, paiements et éventuels transferts de données doivent toujours correspondre au fonctionnement réel de UNITGROWTH.</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Qui traite vos donnees ?</w:t>
      </w:r>
    </w:p>
    <w:p w:rsidR="00000000" w:rsidDel="00000000" w:rsidP="00000000" w:rsidRDefault="00000000" w:rsidRPr="00000000" w14:paraId="00000008">
      <w:pPr>
        <w:rPr/>
      </w:pPr>
      <w:r w:rsidDel="00000000" w:rsidR="00000000" w:rsidRPr="00000000">
        <w:rPr>
          <w:rtl w:val="0"/>
        </w:rPr>
        <w:t xml:space="preserve">Pour les traitements communs necessaires a l'exploitation de UNITGROWTH - notamment gestion des candidatures, qualification des profils, matching et administration commune de la plateforme - IAWeb.dev (Maroc) et HAVET DIGITAL (France) determinent conjointement certains objectifs et moyens du traitement et agissent, dans la mesure applicable, comme responsables conjoints du traitement.</w:t>
      </w:r>
    </w:p>
    <w:p w:rsidR="00000000" w:rsidDel="00000000" w:rsidP="00000000" w:rsidRDefault="00000000" w:rsidRPr="00000000" w14:paraId="00000009">
      <w:pPr>
        <w:rPr/>
      </w:pPr>
      <w:r w:rsidDel="00000000" w:rsidR="00000000" w:rsidRPr="00000000">
        <w:rPr>
          <w:rtl w:val="0"/>
        </w:rPr>
        <w:t xml:space="preserve">Pour les donnees propres a l'execution d'une mission, a la facturation et au paiement, l'entite contractante identifiee dans le document de mission peut agir comme responsable du traitement pour ses obligations propres, sans exclure des traitements conjoints lorsqu'ils existent reellement.</w:t>
      </w:r>
    </w:p>
    <w:tbl>
      <w:tblPr>
        <w:tblStyle w:val="Table2"/>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29"/>
        <w:tblGridChange w:id="0">
          <w:tblGrid>
            <w:gridCol w:w="4929"/>
            <w:gridCol w:w="4929"/>
          </w:tblGrid>
        </w:tblGridChange>
      </w:tblGrid>
      <w:tr>
        <w:trPr>
          <w:cantSplit w:val="0"/>
          <w:tblHeader w:val="0"/>
        </w:trPr>
        <w:tc>
          <w:tcPr>
            <w:shd w:fill="e7ebef" w:val="clear"/>
            <w:tcMar>
              <w:top w:w="100.0" w:type="dxa"/>
              <w:bottom w:w="100.0" w:type="dxa"/>
            </w:tcMar>
          </w:tcPr>
          <w:p w:rsidR="00000000" w:rsidDel="00000000" w:rsidP="00000000" w:rsidRDefault="00000000" w:rsidRPr="00000000" w14:paraId="0000000A">
            <w:pPr>
              <w:rPr/>
            </w:pPr>
            <w:r w:rsidDel="00000000" w:rsidR="00000000" w:rsidRPr="00000000">
              <w:rPr>
                <w:rtl w:val="0"/>
              </w:rPr>
              <w:t xml:space="preserve">Element</w:t>
            </w:r>
          </w:p>
        </w:tc>
        <w:tc>
          <w:tcPr>
            <w:shd w:fill="e7ebef" w:val="clear"/>
            <w:tcMar>
              <w:top w:w="100.0" w:type="dxa"/>
              <w:bottom w:w="100.0" w:type="dxa"/>
            </w:tcMar>
          </w:tcPr>
          <w:p w:rsidR="00000000" w:rsidDel="00000000" w:rsidP="00000000" w:rsidRDefault="00000000" w:rsidRPr="00000000" w14:paraId="0000000B">
            <w:pPr>
              <w:rPr/>
            </w:pPr>
            <w:r w:rsidDel="00000000" w:rsidR="00000000" w:rsidRPr="00000000">
              <w:rPr>
                <w:rtl w:val="0"/>
              </w:rPr>
              <w:t xml:space="preserve">Information</w:t>
            </w:r>
          </w:p>
        </w:tc>
      </w:tr>
      <w:tr>
        <w:trPr>
          <w:cantSplit w:val="0"/>
          <w:tblHeader w:val="0"/>
        </w:trPr>
        <w:tc>
          <w:tcPr>
            <w:tcMar>
              <w:top w:w="100.0" w:type="dxa"/>
              <w:bottom w:w="100.0" w:type="dxa"/>
            </w:tcMar>
            <w:vAlign w:val="center"/>
          </w:tcPr>
          <w:p w:rsidR="00000000" w:rsidDel="00000000" w:rsidP="00000000" w:rsidRDefault="00000000" w:rsidRPr="00000000" w14:paraId="0000000C">
            <w:pPr>
              <w:rPr/>
            </w:pPr>
            <w:r w:rsidDel="00000000" w:rsidR="00000000" w:rsidRPr="00000000">
              <w:rPr>
                <w:rtl w:val="0"/>
              </w:rPr>
              <w:t xml:space="preserve">IAWEB.DEV</w:t>
            </w:r>
          </w:p>
        </w:tc>
        <w:tc>
          <w:tcPr>
            <w:tcMar>
              <w:top w:w="100.0" w:type="dxa"/>
              <w:bottom w:w="100.0" w:type="dxa"/>
            </w:tcMar>
            <w:vAlign w:val="center"/>
          </w:tcPr>
          <w:p w:rsidR="00000000" w:rsidDel="00000000" w:rsidP="00000000" w:rsidRDefault="00000000" w:rsidRPr="00000000" w14:paraId="0000000D">
            <w:pPr>
              <w:rPr/>
            </w:pPr>
            <w:r w:rsidDel="00000000" w:rsidR="00000000" w:rsidRPr="00000000">
              <w:rPr>
                <w:rtl w:val="0"/>
              </w:rPr>
              <w:t xml:space="preserve">IAWEB.DEV, Société à Responsabilité Limitée (SARL), au capital de 100 000 DHS, RC 141395 (Tribunal de Marrakech), ICE 003375388000001 - N° 23 Boulevard Yaaqoub El Mansour, Immeuble Espace Gueliz, 1er étage, Bureau N° 5, Gueliz, Marrakech, Maroc - contact@iaweb.dev - +212 6 97 89 39 29</w:t>
            </w:r>
          </w:p>
        </w:tc>
      </w:tr>
      <w:tr>
        <w:trPr>
          <w:cantSplit w:val="0"/>
          <w:tblHeader w:val="0"/>
        </w:trPr>
        <w:tc>
          <w:tcPr>
            <w:tcMar>
              <w:top w:w="100.0" w:type="dxa"/>
              <w:bottom w:w="100.0" w:type="dxa"/>
            </w:tcMar>
            <w:vAlign w:val="center"/>
          </w:tcPr>
          <w:p w:rsidR="00000000" w:rsidDel="00000000" w:rsidP="00000000" w:rsidRDefault="00000000" w:rsidRPr="00000000" w14:paraId="0000000E">
            <w:pPr>
              <w:rPr/>
            </w:pPr>
            <w:r w:rsidDel="00000000" w:rsidR="00000000" w:rsidRPr="00000000">
              <w:rPr>
                <w:rtl w:val="0"/>
              </w:rPr>
              <w:t xml:space="preserve">HAVET DIGITAL</w:t>
            </w:r>
          </w:p>
        </w:tc>
        <w:tc>
          <w:tcPr>
            <w:tcMar>
              <w:top w:w="100.0" w:type="dxa"/>
              <w:bottom w:w="100.0" w:type="dxa"/>
            </w:tcMar>
            <w:vAlign w:val="center"/>
          </w:tcPr>
          <w:p w:rsidR="00000000" w:rsidDel="00000000" w:rsidP="00000000" w:rsidRDefault="00000000" w:rsidRPr="00000000" w14:paraId="0000000F">
            <w:pPr>
              <w:rPr/>
            </w:pPr>
            <w:r w:rsidDel="00000000" w:rsidR="00000000" w:rsidRPr="00000000">
              <w:rPr>
                <w:rtl w:val="0"/>
              </w:rPr>
              <w:t xml:space="preserve">Arteparc Batiment 4, 9 rue des Bouleaux, 59810 Lesquin, France - service@havetdigital.fr - +33 (0)3 21 63 19 19</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Vous pouvez exercer vos droits aupres de l'une ou l'autre entite. Les deux exploitants se coordonnent pour traiter la demande lorsqu'elle concerne un traitement commun.</w:t>
      </w:r>
    </w:p>
    <w:p w:rsidR="00000000" w:rsidDel="00000000" w:rsidP="00000000" w:rsidRDefault="00000000" w:rsidRPr="00000000" w14:paraId="00000012">
      <w:pPr>
        <w:pStyle w:val="Heading1"/>
        <w:rPr/>
      </w:pPr>
      <w:r w:rsidDel="00000000" w:rsidR="00000000" w:rsidRPr="00000000">
        <w:rPr>
          <w:rtl w:val="0"/>
        </w:rPr>
        <w:t xml:space="preserve">2. Donnees collectees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Identite et coordonnees : nom, prenom, e-mail, telephone, pays de residence.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Compte : identifiant, mot de passe protege, parametres, historique de connexion.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Profil professionnel : domaine d'expertise, specialites, technologies, experience, disponibilite, CV, portfolio, LinkedIn, GitHub et realisations.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Candidature et qualification : reponses aux questionnaires, tests, resultats, evaluations, commentaires de qualification et elements de matching.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Missions : propositions, acceptations, echanges, livrables, jalons, validations et historique utile au suivi.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Administration et paiement : statut professionnel, coordonnees de facturation, factures et informations necessaires au paiement.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Donnees techniques : adresse IP, logs de securite, navigateur, appareil, cookies et traceurs selon vos choix.</w:t>
      </w:r>
    </w:p>
    <w:p w:rsidR="00000000" w:rsidDel="00000000" w:rsidP="00000000" w:rsidRDefault="00000000" w:rsidRPr="00000000" w14:paraId="0000001A">
      <w:pPr>
        <w:pStyle w:val="Heading1"/>
        <w:rPr/>
      </w:pPr>
      <w:r w:rsidDel="00000000" w:rsidR="00000000" w:rsidRPr="00000000">
        <w:rPr>
          <w:rtl w:val="0"/>
        </w:rPr>
        <w:t xml:space="preserve">3. Pourquoi utilisons-nous ces donnees ?</w:t>
      </w:r>
    </w:p>
    <w:tbl>
      <w:tblPr>
        <w:tblStyle w:val="Table3"/>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29"/>
        <w:tblGridChange w:id="0">
          <w:tblGrid>
            <w:gridCol w:w="4929"/>
            <w:gridCol w:w="4929"/>
          </w:tblGrid>
        </w:tblGridChange>
      </w:tblGrid>
      <w:tr>
        <w:trPr>
          <w:cantSplit w:val="0"/>
          <w:tblHeader w:val="0"/>
        </w:trPr>
        <w:tc>
          <w:tcPr>
            <w:shd w:fill="e7ebef" w:val="clear"/>
            <w:tcMar>
              <w:top w:w="100.0" w:type="dxa"/>
              <w:bottom w:w="100.0" w:type="dxa"/>
            </w:tcMar>
          </w:tcPr>
          <w:p w:rsidR="00000000" w:rsidDel="00000000" w:rsidP="00000000" w:rsidRDefault="00000000" w:rsidRPr="00000000" w14:paraId="0000001B">
            <w:pPr>
              <w:rPr/>
            </w:pPr>
            <w:r w:rsidDel="00000000" w:rsidR="00000000" w:rsidRPr="00000000">
              <w:rPr>
                <w:rtl w:val="0"/>
              </w:rPr>
              <w:t xml:space="preserve">Finalite</w:t>
            </w:r>
          </w:p>
        </w:tc>
        <w:tc>
          <w:tcPr>
            <w:shd w:fill="e7ebef" w:val="clear"/>
            <w:tcMar>
              <w:top w:w="100.0" w:type="dxa"/>
              <w:bottom w:w="100.0" w:type="dxa"/>
            </w:tcMar>
          </w:tcPr>
          <w:p w:rsidR="00000000" w:rsidDel="00000000" w:rsidP="00000000" w:rsidRDefault="00000000" w:rsidRPr="00000000" w14:paraId="0000001C">
            <w:pPr>
              <w:rPr/>
            </w:pPr>
            <w:r w:rsidDel="00000000" w:rsidR="00000000" w:rsidRPr="00000000">
              <w:rPr>
                <w:rtl w:val="0"/>
              </w:rPr>
              <w:t xml:space="preserve">Base juridique a appliquer selon le cas</w:t>
            </w:r>
          </w:p>
        </w:tc>
      </w:tr>
      <w:tr>
        <w:trPr>
          <w:cantSplit w:val="0"/>
          <w:tblHeader w:val="0"/>
        </w:trPr>
        <w:tc>
          <w:tcPr>
            <w:tcMar>
              <w:top w:w="100.0" w:type="dxa"/>
              <w:bottom w:w="100.0" w:type="dxa"/>
            </w:tcMar>
            <w:vAlign w:val="center"/>
          </w:tcPr>
          <w:p w:rsidR="00000000" w:rsidDel="00000000" w:rsidP="00000000" w:rsidRDefault="00000000" w:rsidRPr="00000000" w14:paraId="0000001D">
            <w:pPr>
              <w:rPr/>
            </w:pPr>
            <w:r w:rsidDel="00000000" w:rsidR="00000000" w:rsidRPr="00000000">
              <w:rPr>
                <w:rtl w:val="0"/>
              </w:rPr>
              <w:t xml:space="preserve">Creation et gestion du compte</w:t>
            </w:r>
          </w:p>
        </w:tc>
        <w:tc>
          <w:tcPr>
            <w:tcMar>
              <w:top w:w="100.0" w:type="dxa"/>
              <w:bottom w:w="100.0" w:type="dxa"/>
            </w:tcMar>
            <w:vAlign w:val="center"/>
          </w:tcPr>
          <w:p w:rsidR="00000000" w:rsidDel="00000000" w:rsidP="00000000" w:rsidRDefault="00000000" w:rsidRPr="00000000" w14:paraId="0000001E">
            <w:pPr>
              <w:rPr/>
            </w:pPr>
            <w:r w:rsidDel="00000000" w:rsidR="00000000" w:rsidRPr="00000000">
              <w:rPr>
                <w:rtl w:val="0"/>
              </w:rPr>
              <w:t xml:space="preserve">Execution de mesures precontractuelles / relation contractuelle.</w:t>
            </w:r>
          </w:p>
        </w:tc>
      </w:tr>
      <w:tr>
        <w:trPr>
          <w:cantSplit w:val="0"/>
          <w:tblHeader w:val="0"/>
        </w:trPr>
        <w:tc>
          <w:tcPr>
            <w:tcMar>
              <w:top w:w="100.0" w:type="dxa"/>
              <w:bottom w:w="100.0" w:type="dxa"/>
            </w:tcMar>
            <w:vAlign w:val="center"/>
          </w:tcPr>
          <w:p w:rsidR="00000000" w:rsidDel="00000000" w:rsidP="00000000" w:rsidRDefault="00000000" w:rsidRPr="00000000" w14:paraId="0000001F">
            <w:pPr>
              <w:rPr/>
            </w:pPr>
            <w:r w:rsidDel="00000000" w:rsidR="00000000" w:rsidRPr="00000000">
              <w:rPr>
                <w:rtl w:val="0"/>
              </w:rPr>
              <w:t xml:space="preserve">Candidature et qualification</w:t>
            </w:r>
          </w:p>
        </w:tc>
        <w:tc>
          <w:tcPr>
            <w:tcMar>
              <w:top w:w="100.0" w:type="dxa"/>
              <w:bottom w:w="100.0" w:type="dxa"/>
            </w:tcMar>
            <w:vAlign w:val="center"/>
          </w:tcPr>
          <w:p w:rsidR="00000000" w:rsidDel="00000000" w:rsidP="00000000" w:rsidRDefault="00000000" w:rsidRPr="00000000" w14:paraId="00000020">
            <w:pPr>
              <w:rPr/>
            </w:pPr>
            <w:r w:rsidDel="00000000" w:rsidR="00000000" w:rsidRPr="00000000">
              <w:rPr>
                <w:rtl w:val="0"/>
              </w:rPr>
              <w:t xml:space="preserve">Mesures precontractuelles et/ou interet legitime selon le traitement ; consentement lorsqu'il est retenu comme base.</w:t>
            </w:r>
          </w:p>
        </w:tc>
      </w:tr>
      <w:tr>
        <w:trPr>
          <w:cantSplit w:val="0"/>
          <w:tblHeader w:val="0"/>
        </w:trPr>
        <w:tc>
          <w:tcPr>
            <w:tcMar>
              <w:top w:w="100.0" w:type="dxa"/>
              <w:bottom w:w="100.0" w:type="dxa"/>
            </w:tcMar>
            <w:vAlign w:val="center"/>
          </w:tcPr>
          <w:p w:rsidR="00000000" w:rsidDel="00000000" w:rsidP="00000000" w:rsidRDefault="00000000" w:rsidRPr="00000000" w14:paraId="00000021">
            <w:pPr>
              <w:rPr/>
            </w:pPr>
            <w:r w:rsidDel="00000000" w:rsidR="00000000" w:rsidRPr="00000000">
              <w:rPr>
                <w:rtl w:val="0"/>
              </w:rPr>
              <w:t xml:space="preserve">Conservation d'un profil pour de futures missions</w:t>
            </w:r>
          </w:p>
        </w:tc>
        <w:tc>
          <w:tcPr>
            <w:tcMar>
              <w:top w:w="100.0" w:type="dxa"/>
              <w:bottom w:w="100.0" w:type="dxa"/>
            </w:tcMar>
            <w:vAlign w:val="center"/>
          </w:tcPr>
          <w:p w:rsidR="00000000" w:rsidDel="00000000" w:rsidP="00000000" w:rsidRDefault="00000000" w:rsidRPr="00000000" w14:paraId="00000022">
            <w:pPr>
              <w:rPr/>
            </w:pPr>
            <w:r w:rsidDel="00000000" w:rsidR="00000000" w:rsidRPr="00000000">
              <w:rPr>
                <w:rtl w:val="0"/>
              </w:rPr>
              <w:t xml:space="preserve">Interet legitime avec droit d'opposition ou consentement selon le dispositif effectivement retenu.</w:t>
            </w:r>
          </w:p>
        </w:tc>
      </w:tr>
      <w:tr>
        <w:trPr>
          <w:cantSplit w:val="0"/>
          <w:tblHeader w:val="0"/>
        </w:trPr>
        <w:tc>
          <w:tcPr>
            <w:tcMar>
              <w:top w:w="100.0" w:type="dxa"/>
              <w:bottom w:w="100.0" w:type="dxa"/>
            </w:tcMar>
            <w:vAlign w:val="center"/>
          </w:tcPr>
          <w:p w:rsidR="00000000" w:rsidDel="00000000" w:rsidP="00000000" w:rsidRDefault="00000000" w:rsidRPr="00000000" w14:paraId="00000023">
            <w:pPr>
              <w:rPr/>
            </w:pPr>
            <w:r w:rsidDel="00000000" w:rsidR="00000000" w:rsidRPr="00000000">
              <w:rPr>
                <w:rtl w:val="0"/>
              </w:rPr>
              <w:t xml:space="preserve">Matching et proposition de missions</w:t>
            </w:r>
          </w:p>
        </w:tc>
        <w:tc>
          <w:tcPr>
            <w:tcMar>
              <w:top w:w="100.0" w:type="dxa"/>
              <w:bottom w:w="100.0" w:type="dxa"/>
            </w:tcMar>
            <w:vAlign w:val="center"/>
          </w:tcPr>
          <w:p w:rsidR="00000000" w:rsidDel="00000000" w:rsidP="00000000" w:rsidRDefault="00000000" w:rsidRPr="00000000" w14:paraId="00000024">
            <w:pPr>
              <w:rPr/>
            </w:pPr>
            <w:r w:rsidDel="00000000" w:rsidR="00000000" w:rsidRPr="00000000">
              <w:rPr>
                <w:rtl w:val="0"/>
              </w:rPr>
              <w:t xml:space="preserve">Mesures precontractuelles, contrat et interet legitime selon le contexte.</w:t>
            </w:r>
          </w:p>
        </w:tc>
      </w:tr>
      <w:tr>
        <w:trPr>
          <w:cantSplit w:val="0"/>
          <w:tblHeader w:val="0"/>
        </w:trPr>
        <w:tc>
          <w:tcPr>
            <w:tcMar>
              <w:top w:w="100.0" w:type="dxa"/>
              <w:bottom w:w="100.0" w:type="dxa"/>
            </w:tcMar>
            <w:vAlign w:val="center"/>
          </w:tcPr>
          <w:p w:rsidR="00000000" w:rsidDel="00000000" w:rsidP="00000000" w:rsidRDefault="00000000" w:rsidRPr="00000000" w14:paraId="00000025">
            <w:pPr>
              <w:rPr/>
            </w:pPr>
            <w:r w:rsidDel="00000000" w:rsidR="00000000" w:rsidRPr="00000000">
              <w:rPr>
                <w:rtl w:val="0"/>
              </w:rPr>
              <w:t xml:space="preserve">Execution des missions, facturation et paiement</w:t>
            </w:r>
          </w:p>
        </w:tc>
        <w:tc>
          <w:tcPr>
            <w:tcMar>
              <w:top w:w="100.0" w:type="dxa"/>
              <w:bottom w:w="100.0" w:type="dxa"/>
            </w:tcMar>
            <w:vAlign w:val="center"/>
          </w:tcPr>
          <w:p w:rsidR="00000000" w:rsidDel="00000000" w:rsidP="00000000" w:rsidRDefault="00000000" w:rsidRPr="00000000" w14:paraId="00000026">
            <w:pPr>
              <w:rPr/>
            </w:pPr>
            <w:r w:rsidDel="00000000" w:rsidR="00000000" w:rsidRPr="00000000">
              <w:rPr>
                <w:rtl w:val="0"/>
              </w:rPr>
              <w:t xml:space="preserve">Execution du contrat et obligations legales.</w:t>
            </w:r>
          </w:p>
        </w:tc>
      </w:tr>
      <w:tr>
        <w:trPr>
          <w:cantSplit w:val="0"/>
          <w:tblHeader w:val="0"/>
        </w:trPr>
        <w:tc>
          <w:tcPr>
            <w:tcMar>
              <w:top w:w="100.0" w:type="dxa"/>
              <w:bottom w:w="100.0" w:type="dxa"/>
            </w:tcMar>
            <w:vAlign w:val="center"/>
          </w:tcPr>
          <w:p w:rsidR="00000000" w:rsidDel="00000000" w:rsidP="00000000" w:rsidRDefault="00000000" w:rsidRPr="00000000" w14:paraId="00000027">
            <w:pPr>
              <w:rPr/>
            </w:pPr>
            <w:r w:rsidDel="00000000" w:rsidR="00000000" w:rsidRPr="00000000">
              <w:rPr>
                <w:rtl w:val="0"/>
              </w:rPr>
              <w:t xml:space="preserve">Securite, prevention de la fraude et journalisation</w:t>
            </w:r>
          </w:p>
        </w:tc>
        <w:tc>
          <w:tcPr>
            <w:tcMar>
              <w:top w:w="100.0" w:type="dxa"/>
              <w:bottom w:w="100.0" w:type="dxa"/>
            </w:tcMar>
            <w:vAlign w:val="center"/>
          </w:tcPr>
          <w:p w:rsidR="00000000" w:rsidDel="00000000" w:rsidP="00000000" w:rsidRDefault="00000000" w:rsidRPr="00000000" w14:paraId="00000028">
            <w:pPr>
              <w:rPr/>
            </w:pPr>
            <w:r w:rsidDel="00000000" w:rsidR="00000000" w:rsidRPr="00000000">
              <w:rPr>
                <w:rtl w:val="0"/>
              </w:rPr>
              <w:t xml:space="preserve">Interet legitime et/ou obligation legale.</w:t>
            </w:r>
          </w:p>
        </w:tc>
      </w:tr>
      <w:tr>
        <w:trPr>
          <w:cantSplit w:val="0"/>
          <w:tblHeader w:val="0"/>
        </w:trPr>
        <w:tc>
          <w:tcPr>
            <w:tcMar>
              <w:top w:w="100.0" w:type="dxa"/>
              <w:bottom w:w="100.0" w:type="dxa"/>
            </w:tcMar>
            <w:vAlign w:val="center"/>
          </w:tcPr>
          <w:p w:rsidR="00000000" w:rsidDel="00000000" w:rsidP="00000000" w:rsidRDefault="00000000" w:rsidRPr="00000000" w14:paraId="00000029">
            <w:pPr>
              <w:rPr/>
            </w:pPr>
            <w:r w:rsidDel="00000000" w:rsidR="00000000" w:rsidRPr="00000000">
              <w:rPr>
                <w:rtl w:val="0"/>
              </w:rPr>
              <w:t xml:space="preserve">Mesure d'audience et services non essentiels</w:t>
            </w:r>
          </w:p>
        </w:tc>
        <w:tc>
          <w:tcPr>
            <w:tcMar>
              <w:top w:w="100.0" w:type="dxa"/>
              <w:bottom w:w="100.0" w:type="dxa"/>
            </w:tcMar>
            <w:vAlign w:val="center"/>
          </w:tcPr>
          <w:p w:rsidR="00000000" w:rsidDel="00000000" w:rsidP="00000000" w:rsidRDefault="00000000" w:rsidRPr="00000000" w14:paraId="0000002A">
            <w:pPr>
              <w:rPr/>
            </w:pPr>
            <w:r w:rsidDel="00000000" w:rsidR="00000000" w:rsidRPr="00000000">
              <w:rPr>
                <w:rtl w:val="0"/>
              </w:rPr>
              <w:t xml:space="preserve">Consentement lorsqu'il est requis.</w:t>
            </w:r>
          </w:p>
        </w:tc>
      </w:tr>
      <w:tr>
        <w:trPr>
          <w:cantSplit w:val="0"/>
          <w:tblHeader w:val="0"/>
        </w:trPr>
        <w:tc>
          <w:tcPr>
            <w:tcMar>
              <w:top w:w="100.0" w:type="dxa"/>
              <w:bottom w:w="100.0" w:type="dxa"/>
            </w:tcMar>
            <w:vAlign w:val="center"/>
          </w:tcPr>
          <w:p w:rsidR="00000000" w:rsidDel="00000000" w:rsidP="00000000" w:rsidRDefault="00000000" w:rsidRPr="00000000" w14:paraId="0000002B">
            <w:pPr>
              <w:rPr/>
            </w:pPr>
            <w:r w:rsidDel="00000000" w:rsidR="00000000" w:rsidRPr="00000000">
              <w:rPr>
                <w:rtl w:val="0"/>
              </w:rPr>
              <w:t xml:space="preserve">Communications facultatives</w:t>
            </w:r>
          </w:p>
        </w:tc>
        <w:tc>
          <w:tcPr>
            <w:tcMar>
              <w:top w:w="100.0" w:type="dxa"/>
              <w:bottom w:w="100.0" w:type="dxa"/>
            </w:tcMar>
            <w:vAlign w:val="center"/>
          </w:tcPr>
          <w:p w:rsidR="00000000" w:rsidDel="00000000" w:rsidP="00000000" w:rsidRDefault="00000000" w:rsidRPr="00000000" w14:paraId="0000002C">
            <w:pPr>
              <w:rPr/>
            </w:pPr>
            <w:r w:rsidDel="00000000" w:rsidR="00000000" w:rsidRPr="00000000">
              <w:rPr>
                <w:rtl w:val="0"/>
              </w:rPr>
              <w:t xml:space="preserve">Consentement ou autre base permise selon le contexte B2B et le droit applicable.</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4. Qualification assistee par intelligence artificielle</w:t>
      </w:r>
    </w:p>
    <w:p w:rsidR="00000000" w:rsidDel="00000000" w:rsidP="00000000" w:rsidRDefault="00000000" w:rsidRPr="00000000" w14:paraId="0000002F">
      <w:pPr>
        <w:rPr/>
      </w:pPr>
      <w:r w:rsidDel="00000000" w:rsidR="00000000" w:rsidRPr="00000000">
        <w:rPr>
          <w:rtl w:val="0"/>
        </w:rPr>
        <w:t xml:space="preserve">Des outils d'IA ou d'automatisation peuvent assister l'analyse de candidatures, la notation de tests, l'identification de competences et le matching avec des missions. UNITGROWTH documente les outils utilises, les donnees transmises, la logique generale et les consequences possibles.</w:t>
      </w:r>
    </w:p>
    <w:p w:rsidR="00000000" w:rsidDel="00000000" w:rsidP="00000000" w:rsidRDefault="00000000" w:rsidRPr="00000000" w14:paraId="00000030">
      <w:pPr>
        <w:rPr/>
      </w:pPr>
      <w:r w:rsidDel="00000000" w:rsidR="00000000" w:rsidRPr="00000000">
        <w:rPr>
          <w:rtl w:val="0"/>
        </w:rPr>
        <w:t xml:space="preserve">Si une decision ayant un effet juridique ou affectant significativement une personne repose exclusivement sur un traitement automatise, les garanties et droits requis par la reglementation applicable doivent etre mis en place. Dans les processus de recrutement/selection, une supervision humaine appropriee est recommandee.</w:t>
      </w:r>
    </w:p>
    <w:p w:rsidR="00000000" w:rsidDel="00000000" w:rsidP="00000000" w:rsidRDefault="00000000" w:rsidRPr="00000000" w14:paraId="00000031">
      <w:pPr>
        <w:pStyle w:val="Heading1"/>
        <w:rPr/>
      </w:pPr>
      <w:r w:rsidDel="00000000" w:rsidR="00000000" w:rsidRPr="00000000">
        <w:rPr>
          <w:rtl w:val="0"/>
        </w:rPr>
        <w:t xml:space="preserve">5. Destinataires</w:t>
      </w:r>
    </w:p>
    <w:p w:rsidR="00000000" w:rsidDel="00000000" w:rsidP="00000000" w:rsidRDefault="00000000" w:rsidRPr="00000000" w14:paraId="00000032">
      <w:pPr>
        <w:rPr/>
      </w:pPr>
      <w:r w:rsidDel="00000000" w:rsidR="00000000" w:rsidRPr="00000000">
        <w:rPr>
          <w:rtl w:val="0"/>
        </w:rPr>
        <w:t xml:space="preserve">Selon le besoin d'en connaitre, les donnees peuvent etre accessibles aux equipes autorisees d'IAWeb.dev et HAVET DIGITAL, aux responsables de projet, aux personnes chargees de la qualification et de la gestion administrative, ainsi qu'aux prestataires techniques necessaires au fonctionnement de UNITGROWTH.</w:t>
      </w:r>
    </w:p>
    <w:p w:rsidR="00000000" w:rsidDel="00000000" w:rsidP="00000000" w:rsidRDefault="00000000" w:rsidRPr="00000000" w14:paraId="00000033">
      <w:pPr>
        <w:pStyle w:val="Heading1"/>
        <w:rPr/>
      </w:pPr>
      <w:r w:rsidDel="00000000" w:rsidR="00000000" w:rsidRPr="00000000">
        <w:rPr>
          <w:rtl w:val="0"/>
        </w:rPr>
        <w:t xml:space="preserve">6. Hebergement et prestataires</w:t>
      </w:r>
    </w:p>
    <w:p w:rsidR="00000000" w:rsidDel="00000000" w:rsidP="00000000" w:rsidRDefault="00000000" w:rsidRPr="00000000" w14:paraId="00000034">
      <w:pPr>
        <w:rPr/>
      </w:pPr>
      <w:r w:rsidDel="00000000" w:rsidR="00000000" w:rsidRPr="00000000">
        <w:rPr>
          <w:rtl w:val="0"/>
        </w:rPr>
        <w:t xml:space="preserve">La plateforme est hebergee chez OVH SAS, 2 rue Kellermann, 59100 Roubaix, France. D'autres prestataires peuvent intervenir pour l'e-mail, l'authentification, l'analyse d'audience, les outils d'IA, le support, la gestion de projet ou les paiements. La liste doit etre tenue a jour en interne et communiquee lorsque la loi l'exige.</w:t>
      </w:r>
    </w:p>
    <w:p w:rsidR="00000000" w:rsidDel="00000000" w:rsidP="00000000" w:rsidRDefault="00000000" w:rsidRPr="00000000" w14:paraId="00000035">
      <w:pPr>
        <w:pStyle w:val="Heading1"/>
        <w:rPr/>
      </w:pPr>
      <w:r w:rsidDel="00000000" w:rsidR="00000000" w:rsidRPr="00000000">
        <w:rPr>
          <w:rtl w:val="0"/>
        </w:rPr>
        <w:t xml:space="preserve">7. Transferts entre France, Union europeenne et Maroc</w:t>
      </w:r>
    </w:p>
    <w:p w:rsidR="00000000" w:rsidDel="00000000" w:rsidP="00000000" w:rsidRDefault="00000000" w:rsidRPr="00000000" w14:paraId="00000036">
      <w:pPr>
        <w:rPr/>
      </w:pPr>
      <w:r w:rsidDel="00000000" w:rsidR="00000000" w:rsidRPr="00000000">
        <w:rPr>
          <w:rtl w:val="0"/>
        </w:rPr>
        <w:t xml:space="preserve">Le fonctionnement commun de UNITGROWTH implique potentiellement des acces ou transferts de donnees entre la France/EEE et le Maroc. Lorsque le RGPD exige une garantie pour un transfert vers un pays tiers, les parties mettent en place le mecanisme approprie, par exemple des clauses contractuelles types et les mesures complementaires necessaires. IAWeb.dev doit egalement respecter les formalites marocaines applicables aux transferts internationaux de donnees personnelles.</w:t>
      </w:r>
    </w:p>
    <w:p w:rsidR="00000000" w:rsidDel="00000000" w:rsidP="00000000" w:rsidRDefault="00000000" w:rsidRPr="00000000" w14:paraId="00000037">
      <w:pPr>
        <w:pStyle w:val="Heading1"/>
        <w:rPr/>
      </w:pPr>
      <w:r w:rsidDel="00000000" w:rsidR="00000000" w:rsidRPr="00000000">
        <w:rPr>
          <w:rtl w:val="0"/>
        </w:rPr>
        <w:t xml:space="preserve">8. Durees de conservation</w:t>
      </w:r>
    </w:p>
    <w:tbl>
      <w:tblPr>
        <w:tblStyle w:val="Table4"/>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29"/>
        <w:tblGridChange w:id="0">
          <w:tblGrid>
            <w:gridCol w:w="4929"/>
            <w:gridCol w:w="4929"/>
          </w:tblGrid>
        </w:tblGridChange>
      </w:tblGrid>
      <w:tr>
        <w:trPr>
          <w:cantSplit w:val="0"/>
          <w:tblHeader w:val="0"/>
        </w:trPr>
        <w:tc>
          <w:tcPr>
            <w:shd w:fill="e7ebef" w:val="clear"/>
            <w:tcMar>
              <w:top w:w="100.0" w:type="dxa"/>
              <w:bottom w:w="100.0" w:type="dxa"/>
            </w:tcMar>
          </w:tcPr>
          <w:p w:rsidR="00000000" w:rsidDel="00000000" w:rsidP="00000000" w:rsidRDefault="00000000" w:rsidRPr="00000000" w14:paraId="00000038">
            <w:pPr>
              <w:rPr/>
            </w:pPr>
            <w:r w:rsidDel="00000000" w:rsidR="00000000" w:rsidRPr="00000000">
              <w:rPr>
                <w:rtl w:val="0"/>
              </w:rPr>
              <w:t xml:space="preserve">Element</w:t>
            </w:r>
          </w:p>
        </w:tc>
        <w:tc>
          <w:tcPr>
            <w:shd w:fill="e7ebef" w:val="clear"/>
            <w:tcMar>
              <w:top w:w="100.0" w:type="dxa"/>
              <w:bottom w:w="100.0" w:type="dxa"/>
            </w:tcMar>
          </w:tcPr>
          <w:p w:rsidR="00000000" w:rsidDel="00000000" w:rsidP="00000000" w:rsidRDefault="00000000" w:rsidRPr="00000000" w14:paraId="00000039">
            <w:pPr>
              <w:rPr/>
            </w:pPr>
            <w:r w:rsidDel="00000000" w:rsidR="00000000" w:rsidRPr="00000000">
              <w:rPr>
                <w:rtl w:val="0"/>
              </w:rPr>
              <w:t xml:space="preserve">Information</w:t>
            </w:r>
          </w:p>
        </w:tc>
      </w:tr>
      <w:tr>
        <w:trPr>
          <w:cantSplit w:val="0"/>
          <w:tblHeader w:val="0"/>
        </w:trPr>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Compte actif</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Pendant la duree d'utilisation puis le temps necessaire a la cloture et a la preuve de la relation.</w:t>
            </w:r>
          </w:p>
        </w:tc>
      </w:tr>
      <w:tr>
        <w:trPr>
          <w:cantSplit w:val="0"/>
          <w:tblHeader w:val="0"/>
        </w:trPr>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Candidature non retenue / profil conserve</w:t>
            </w:r>
          </w:p>
        </w:tc>
        <w:tc>
          <w:tcPr>
            <w:tcMar>
              <w:top w:w="100.0" w:type="dxa"/>
              <w:bottom w:w="100.0" w:type="dxa"/>
            </w:tcMar>
            <w:vAlign w:val="center"/>
          </w:tcPr>
          <w:p w:rsidR="00000000" w:rsidDel="00000000" w:rsidP="00000000" w:rsidRDefault="00000000" w:rsidRPr="00000000" w14:paraId="0000003D">
            <w:pPr>
              <w:rPr/>
            </w:pPr>
            <w:r w:rsidDel="00000000" w:rsidR="00000000" w:rsidRPr="00000000">
              <w:rPr>
                <w:rtl w:val="0"/>
              </w:rPr>
              <w:t xml:space="preserve">Jusqu'a 2 ans a compter du dernier contact si ce choix est justifie, porte a la connaissance de la personne et fonde sur une base juridique adaptee.</w:t>
            </w:r>
          </w:p>
        </w:tc>
      </w:tr>
      <w:tr>
        <w:trPr>
          <w:cantSplit w:val="0"/>
          <w:tblHeader w:val="0"/>
        </w:trPr>
        <w:tc>
          <w:tcPr>
            <w:tcMar>
              <w:top w:w="100.0" w:type="dxa"/>
              <w:bottom w:w="100.0" w:type="dxa"/>
            </w:tcMar>
            <w:vAlign w:val="center"/>
          </w:tcPr>
          <w:p w:rsidR="00000000" w:rsidDel="00000000" w:rsidP="00000000" w:rsidRDefault="00000000" w:rsidRPr="00000000" w14:paraId="0000003E">
            <w:pPr>
              <w:rPr/>
            </w:pPr>
            <w:r w:rsidDel="00000000" w:rsidR="00000000" w:rsidRPr="00000000">
              <w:rPr>
                <w:rtl w:val="0"/>
              </w:rPr>
              <w:t xml:space="preserve">Tests et evaluations</w:t>
            </w:r>
          </w:p>
        </w:tc>
        <w:tc>
          <w:tcPr>
            <w:tcMar>
              <w:top w:w="100.0" w:type="dxa"/>
              <w:bottom w:w="100.0" w:type="dxa"/>
            </w:tcMar>
            <w:vAlign w:val="center"/>
          </w:tcPr>
          <w:p w:rsidR="00000000" w:rsidDel="00000000" w:rsidP="00000000" w:rsidRDefault="00000000" w:rsidRPr="00000000" w14:paraId="0000003F">
            <w:pPr>
              <w:rPr/>
            </w:pPr>
            <w:r w:rsidDel="00000000" w:rsidR="00000000" w:rsidRPr="00000000">
              <w:rPr>
                <w:rtl w:val="0"/>
              </w:rPr>
              <w:t xml:space="preserve">Duree necessaire a la qualification et au suivi des opportunites, a fixer precisement dans la politique interne.</w:t>
            </w:r>
          </w:p>
        </w:tc>
      </w:tr>
      <w:tr>
        <w:trPr>
          <w:cantSplit w:val="0"/>
          <w:tblHeader w:val="0"/>
        </w:trPr>
        <w:tc>
          <w:tcPr>
            <w:tcMar>
              <w:top w:w="100.0" w:type="dxa"/>
              <w:bottom w:w="100.0" w:type="dxa"/>
            </w:tcMar>
            <w:vAlign w:val="center"/>
          </w:tcPr>
          <w:p w:rsidR="00000000" w:rsidDel="00000000" w:rsidP="00000000" w:rsidRDefault="00000000" w:rsidRPr="00000000" w14:paraId="00000040">
            <w:pPr>
              <w:rPr/>
            </w:pPr>
            <w:r w:rsidDel="00000000" w:rsidR="00000000" w:rsidRPr="00000000">
              <w:rPr>
                <w:rtl w:val="0"/>
              </w:rPr>
              <w:t xml:space="preserve">Missions et contrats</w:t>
            </w:r>
          </w:p>
        </w:tc>
        <w:tc>
          <w:tcPr>
            <w:tcMar>
              <w:top w:w="100.0" w:type="dxa"/>
              <w:bottom w:w="100.0" w:type="dxa"/>
            </w:tcMar>
            <w:vAlign w:val="center"/>
          </w:tcPr>
          <w:p w:rsidR="00000000" w:rsidDel="00000000" w:rsidP="00000000" w:rsidRDefault="00000000" w:rsidRPr="00000000" w14:paraId="00000041">
            <w:pPr>
              <w:rPr/>
            </w:pPr>
            <w:r w:rsidDel="00000000" w:rsidR="00000000" w:rsidRPr="00000000">
              <w:rPr>
                <w:rtl w:val="0"/>
              </w:rPr>
              <w:t xml:space="preserve">Pendant la relation puis archivage pendant les delais de prescription applicables.</w:t>
            </w:r>
          </w:p>
        </w:tc>
      </w:tr>
      <w:tr>
        <w:trPr>
          <w:cantSplit w:val="0"/>
          <w:tblHeader w:val="0"/>
        </w:trPr>
        <w:tc>
          <w:tcPr>
            <w:tcMar>
              <w:top w:w="100.0" w:type="dxa"/>
              <w:bottom w:w="100.0" w:type="dxa"/>
            </w:tcMar>
            <w:vAlign w:val="center"/>
          </w:tcPr>
          <w:p w:rsidR="00000000" w:rsidDel="00000000" w:rsidP="00000000" w:rsidRDefault="00000000" w:rsidRPr="00000000" w14:paraId="00000042">
            <w:pPr>
              <w:rPr/>
            </w:pPr>
            <w:r w:rsidDel="00000000" w:rsidR="00000000" w:rsidRPr="00000000">
              <w:rPr>
                <w:rtl w:val="0"/>
              </w:rPr>
              <w:t xml:space="preserve">Factures et pieces comptables</w:t>
            </w:r>
          </w:p>
        </w:tc>
        <w:tc>
          <w:tcPr>
            <w:tcMar>
              <w:top w:w="100.0" w:type="dxa"/>
              <w:bottom w:w="100.0" w:type="dxa"/>
            </w:tcMar>
            <w:vAlign w:val="center"/>
          </w:tcPr>
          <w:p w:rsidR="00000000" w:rsidDel="00000000" w:rsidP="00000000" w:rsidRDefault="00000000" w:rsidRPr="00000000" w14:paraId="00000043">
            <w:pPr>
              <w:rPr/>
            </w:pPr>
            <w:r w:rsidDel="00000000" w:rsidR="00000000" w:rsidRPr="00000000">
              <w:rPr>
                <w:rtl w:val="0"/>
              </w:rPr>
              <w:t xml:space="preserve">Duree legale applicable a l'entite contractante.</w:t>
            </w:r>
          </w:p>
        </w:tc>
      </w:tr>
      <w:tr>
        <w:trPr>
          <w:cantSplit w:val="0"/>
          <w:tblHeader w:val="0"/>
        </w:trPr>
        <w:tc>
          <w:tcPr>
            <w:tcMar>
              <w:top w:w="100.0" w:type="dxa"/>
              <w:bottom w:w="100.0" w:type="dxa"/>
            </w:tcMar>
            <w:vAlign w:val="center"/>
          </w:tcPr>
          <w:p w:rsidR="00000000" w:rsidDel="00000000" w:rsidP="00000000" w:rsidRDefault="00000000" w:rsidRPr="00000000" w14:paraId="00000044">
            <w:pPr>
              <w:rPr/>
            </w:pPr>
            <w:r w:rsidDel="00000000" w:rsidR="00000000" w:rsidRPr="00000000">
              <w:rPr>
                <w:rtl w:val="0"/>
              </w:rPr>
              <w:t xml:space="preserve">Logs de securite</w:t>
            </w:r>
          </w:p>
        </w:tc>
        <w:tc>
          <w:tcPr>
            <w:tcMar>
              <w:top w:w="100.0" w:type="dxa"/>
              <w:bottom w:w="100.0" w:type="dxa"/>
            </w:tcMar>
            <w:vAlign w:val="center"/>
          </w:tcPr>
          <w:p w:rsidR="00000000" w:rsidDel="00000000" w:rsidP="00000000" w:rsidRDefault="00000000" w:rsidRPr="00000000" w14:paraId="00000045">
            <w:pPr>
              <w:rPr/>
            </w:pPr>
            <w:r w:rsidDel="00000000" w:rsidR="00000000" w:rsidRPr="00000000">
              <w:rPr>
                <w:rtl w:val="0"/>
              </w:rPr>
              <w:t xml:space="preserve">Duree proportionnee au besoin de securite, a documenter.</w:t>
            </w:r>
          </w:p>
        </w:tc>
      </w:tr>
      <w:tr>
        <w:trPr>
          <w:cantSplit w:val="0"/>
          <w:tblHeader w:val="0"/>
        </w:trPr>
        <w:tc>
          <w:tcPr>
            <w:tcMar>
              <w:top w:w="100.0" w:type="dxa"/>
              <w:bottom w:w="100.0" w:type="dxa"/>
            </w:tcMar>
            <w:vAlign w:val="center"/>
          </w:tcPr>
          <w:p w:rsidR="00000000" w:rsidDel="00000000" w:rsidP="00000000" w:rsidRDefault="00000000" w:rsidRPr="00000000" w14:paraId="00000046">
            <w:pPr>
              <w:rPr/>
            </w:pPr>
            <w:r w:rsidDel="00000000" w:rsidR="00000000" w:rsidRPr="00000000">
              <w:rPr>
                <w:rtl w:val="0"/>
              </w:rPr>
              <w:t xml:space="preserve">Choix cookies</w:t>
            </w:r>
          </w:p>
        </w:tc>
        <w:tc>
          <w:tcPr>
            <w:tcMar>
              <w:top w:w="100.0" w:type="dxa"/>
              <w:bottom w:w="100.0" w:type="dxa"/>
            </w:tcMar>
            <w:vAlign w:val="center"/>
          </w:tcPr>
          <w:p w:rsidR="00000000" w:rsidDel="00000000" w:rsidP="00000000" w:rsidRDefault="00000000" w:rsidRPr="00000000" w14:paraId="00000047">
            <w:pPr>
              <w:rPr/>
            </w:pPr>
            <w:r w:rsidDel="00000000" w:rsidR="00000000" w:rsidRPr="00000000">
              <w:rPr>
                <w:rtl w:val="0"/>
              </w:rPr>
              <w:t xml:space="preserve">Selon la Politique de cookies et le gestionnaire de consentement.</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9. Donnees obligatoires</w:t>
      </w:r>
    </w:p>
    <w:p w:rsidR="00000000" w:rsidDel="00000000" w:rsidP="00000000" w:rsidRDefault="00000000" w:rsidRPr="00000000" w14:paraId="0000004A">
      <w:pPr>
        <w:rPr/>
      </w:pPr>
      <w:r w:rsidDel="00000000" w:rsidR="00000000" w:rsidRPr="00000000">
        <w:rPr>
          <w:rtl w:val="0"/>
        </w:rPr>
        <w:t xml:space="preserve">Les champs marques comme obligatoires sont necessaires pour traiter la candidature, creer le compte ou conclure une mission. Leur absence peut empecher le traitement de la demande.</w:t>
      </w:r>
    </w:p>
    <w:p w:rsidR="00000000" w:rsidDel="00000000" w:rsidP="00000000" w:rsidRDefault="00000000" w:rsidRPr="00000000" w14:paraId="0000004B">
      <w:pPr>
        <w:pStyle w:val="Heading1"/>
        <w:rPr/>
      </w:pPr>
      <w:r w:rsidDel="00000000" w:rsidR="00000000" w:rsidRPr="00000000">
        <w:rPr>
          <w:rtl w:val="0"/>
        </w:rPr>
        <w:t xml:space="preserve">10. Securite</w:t>
      </w:r>
    </w:p>
    <w:p w:rsidR="00000000" w:rsidDel="00000000" w:rsidP="00000000" w:rsidRDefault="00000000" w:rsidRPr="00000000" w14:paraId="0000004C">
      <w:pPr>
        <w:rPr/>
      </w:pPr>
      <w:r w:rsidDel="00000000" w:rsidR="00000000" w:rsidRPr="00000000">
        <w:rPr>
          <w:rtl w:val="0"/>
        </w:rPr>
        <w:t xml:space="preserve">Les exploitants mettent en place des mesures techniques et organisationnelles adaptees aux risques : controle d'acces, habilitations, sauvegardes, chiffrement lorsque pertinent, journalisation, mises a jour de securite, cloisonnement et procedures de gestion des incidents.</w:t>
      </w:r>
    </w:p>
    <w:p w:rsidR="00000000" w:rsidDel="00000000" w:rsidP="00000000" w:rsidRDefault="00000000" w:rsidRPr="00000000" w14:paraId="0000004D">
      <w:pPr>
        <w:pStyle w:val="Heading1"/>
        <w:rPr/>
      </w:pPr>
      <w:r w:rsidDel="00000000" w:rsidR="00000000" w:rsidRPr="00000000">
        <w:rPr>
          <w:rtl w:val="0"/>
        </w:rPr>
        <w:t xml:space="preserve">11. Vos droits</w:t>
      </w:r>
    </w:p>
    <w:p w:rsidR="00000000" w:rsidDel="00000000" w:rsidP="00000000" w:rsidRDefault="00000000" w:rsidRPr="00000000" w14:paraId="0000004E">
      <w:pPr>
        <w:rPr/>
      </w:pPr>
      <w:r w:rsidDel="00000000" w:rsidR="00000000" w:rsidRPr="00000000">
        <w:rPr>
          <w:rtl w:val="0"/>
        </w:rPr>
        <w:t xml:space="preserve">Selon la reglementation qui vous est applicable, vous pouvez disposer notamment de droits d'acces, rectification, effacement, limitation, opposition, portabilite et retrait du consentement. Pour une demande relative a une decision automatisee, des droits ou garanties specifiques peuvent egalement s'appliquer.</w:t>
      </w:r>
    </w:p>
    <w:p w:rsidR="00000000" w:rsidDel="00000000" w:rsidP="00000000" w:rsidRDefault="00000000" w:rsidRPr="00000000" w14:paraId="0000004F">
      <w:pPr>
        <w:rPr/>
      </w:pPr>
      <w:r w:rsidDel="00000000" w:rsidR="00000000" w:rsidRPr="00000000">
        <w:rPr>
          <w:rtl w:val="0"/>
        </w:rPr>
        <w:t xml:space="preserve">Contact : contact@iaweb.dev ou service@havetdigital.fr. Une piece d'identite ne doit etre demandee que si elle est necessaire pour verifier raisonnablement l'identite du demandeur.</w:t>
      </w:r>
    </w:p>
    <w:p w:rsidR="00000000" w:rsidDel="00000000" w:rsidP="00000000" w:rsidRDefault="00000000" w:rsidRPr="00000000" w14:paraId="00000050">
      <w:pPr>
        <w:pStyle w:val="Heading1"/>
        <w:rPr/>
      </w:pPr>
      <w:r w:rsidDel="00000000" w:rsidR="00000000" w:rsidRPr="00000000">
        <w:rPr>
          <w:rtl w:val="0"/>
        </w:rPr>
        <w:t xml:space="preserve">12. Reclamations</w:t>
      </w:r>
    </w:p>
    <w:p w:rsidR="00000000" w:rsidDel="00000000" w:rsidP="00000000" w:rsidRDefault="00000000" w:rsidRPr="00000000" w14:paraId="00000051">
      <w:pPr>
        <w:rPr/>
      </w:pPr>
      <w:r w:rsidDel="00000000" w:rsidR="00000000" w:rsidRPr="00000000">
        <w:rPr>
          <w:rtl w:val="0"/>
        </w:rPr>
        <w:t xml:space="preserve">Lorsque le RGPD s'applique, une reclamation peut etre adressee a l'autorite de controle competente, notamment la CNIL en France. Lorsque la loi marocaine n° 09-08 s'applique, la CNDP peut etre saisie selon les conditions prevues par cette loi.</w:t>
      </w:r>
    </w:p>
    <w:p w:rsidR="00000000" w:rsidDel="00000000" w:rsidP="00000000" w:rsidRDefault="00000000" w:rsidRPr="00000000" w14:paraId="00000052">
      <w:pPr>
        <w:pStyle w:val="Heading1"/>
        <w:rPr/>
      </w:pPr>
      <w:r w:rsidDel="00000000" w:rsidR="00000000" w:rsidRPr="00000000">
        <w:rPr>
          <w:rtl w:val="0"/>
        </w:rPr>
        <w:t xml:space="preserve">13. Mineurs</w:t>
      </w:r>
    </w:p>
    <w:p w:rsidR="00000000" w:rsidDel="00000000" w:rsidP="00000000" w:rsidRDefault="00000000" w:rsidRPr="00000000" w14:paraId="00000053">
      <w:pPr>
        <w:rPr/>
      </w:pPr>
      <w:r w:rsidDel="00000000" w:rsidR="00000000" w:rsidRPr="00000000">
        <w:rPr>
          <w:rtl w:val="0"/>
        </w:rPr>
        <w:t xml:space="preserve">UNITGROWTH est destinee a des personnes majeures et n'est pas concue pour recueillir volontairement des candidatures de mineurs.</w:t>
      </w:r>
    </w:p>
    <w:p w:rsidR="00000000" w:rsidDel="00000000" w:rsidP="00000000" w:rsidRDefault="00000000" w:rsidRPr="00000000" w14:paraId="00000054">
      <w:pPr>
        <w:pStyle w:val="Heading1"/>
        <w:rPr/>
      </w:pPr>
      <w:r w:rsidDel="00000000" w:rsidR="00000000" w:rsidRPr="00000000">
        <w:rPr>
          <w:rtl w:val="0"/>
        </w:rPr>
        <w:t xml:space="preserve">14. Mise a jour</w:t>
      </w:r>
    </w:p>
    <w:p w:rsidR="00000000" w:rsidDel="00000000" w:rsidP="00000000" w:rsidRDefault="00000000" w:rsidRPr="00000000" w14:paraId="00000055">
      <w:pPr>
        <w:rPr/>
      </w:pPr>
      <w:r w:rsidDel="00000000" w:rsidR="00000000" w:rsidRPr="00000000">
        <w:rPr>
          <w:rtl w:val="0"/>
        </w:rPr>
        <w:t xml:space="preserve">La presente politique peut etre mise a jour pour tenir compte des evolutions de la plateforme, des prestataires, des traitements ou de la reglementation.</w:t>
      </w:r>
    </w:p>
    <w:sectPr>
      <w:headerReference r:id="rId7" w:type="default"/>
      <w:footerReference r:id="rId8" w:type="default"/>
      <w:pgSz w:h="15840" w:w="12240" w:orient="portrait"/>
      <w:pgMar w:bottom="964" w:top="1134" w:left="1191" w:right="119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UNITGROWTH - Pack juridique</w:t>
    </w:r>
  </w:p>
  <w:p w:rsidR="00000000" w:rsidDel="00000000" w:rsidP="00000000" w:rsidRDefault="00000000" w:rsidRPr="00000000" w14:paraId="0000005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Arial" w:cs="Arial" w:eastAsia="Arial" w:hAnsi="Arial"/>
      <w:b w:val="1"/>
      <w:bCs w:val="1"/>
      <w:color w:val="14181c"/>
      <w:sz w:val="32"/>
      <w:szCs w:val="32"/>
    </w:rPr>
  </w:style>
  <w:style w:type="paragraph" w:styleId="Heading2">
    <w:name w:val="heading 2"/>
    <w:basedOn w:val="Normal"/>
    <w:next w:val="Normal"/>
    <w:pPr>
      <w:keepNext w:val="1"/>
      <w:keepLines w:val="1"/>
      <w:spacing w:after="80" w:before="200" w:lineRule="auto"/>
    </w:pPr>
    <w:rPr>
      <w:rFonts w:ascii="Arial" w:cs="Arial" w:eastAsia="Arial" w:hAnsi="Arial"/>
      <w:b w:val="1"/>
      <w:bCs w:val="1"/>
      <w:color w:val="14181c"/>
      <w:sz w:val="25"/>
      <w:szCs w:val="25"/>
    </w:rPr>
  </w:style>
  <w:style w:type="paragraph" w:styleId="Heading3">
    <w:name w:val="heading 3"/>
    <w:basedOn w:val="Normal"/>
    <w:next w:val="Normal"/>
    <w:pPr>
      <w:keepNext w:val="1"/>
      <w:keepLines w:val="1"/>
      <w:spacing w:after="80" w:before="200" w:lineRule="auto"/>
    </w:pPr>
    <w:rPr>
      <w:rFonts w:ascii="Arial" w:cs="Arial" w:eastAsia="Arial" w:hAnsi="Arial"/>
      <w:b w:val="1"/>
      <w:bCs w:val="1"/>
      <w:color w:val="14181c"/>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4181c"/>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98dRzZIGfDNvWzo/Vi3kWVMiow==">CgMxLjA4AHIhMVdRQU5yWGplWFA5T2xYYTdZVVV6SGZvb2E1UDR2Y3E3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