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UNITGROWTH</w:t>
      </w:r>
    </w:p>
    <w:p>
      <w:pPr>
        <w:pStyle w:val="Title"/>
        <w:jc w:val="center"/>
      </w:pPr>
      <w:r>
        <w:t>Accord interne de responsabilite conjointe - donnees personnelles</w:t>
      </w:r>
    </w:p>
    <w:p>
      <w:pPr>
        <w:jc w:val="center"/>
      </w:pPr>
      <w:r>
        <w:t>IAWeb.dev / HAVET DIGITAL - modele interne</w:t>
      </w:r>
    </w:p>
    <w:p>
      <w:pPr>
        <w:jc w:val="center"/>
      </w:pPr>
      <w:r>
        <w:t>Version 3.0 - personnalisee - 11 septembre 2026</w:t>
      </w:r>
    </w:p>
    <w:tbl>
      <w:tblPr>
        <w:tblW w:type="auto" w:w="0"/>
        <w:jc w:val="center"/>
        <w:tblLook w:firstColumn="1" w:firstRow="1" w:lastColumn="0" w:lastRow="0" w:noHBand="0" w:noVBand="1" w:val="04A0"/>
      </w:tblPr>
      <w:tblGrid>
        <w:gridCol w:w="9858"/>
      </w:tblGrid>
      <w:tr>
        <w:tc>
          <w:tcPr>
            <w:tcW w:type="dxa" w:w="9858"/>
            <w:shd w:fill="F2F4F6"/>
            <w:tcMar>
              <w:top w:w="150" w:type="dxa"/>
              <w:start w:w="180" w:type="dxa"/>
              <w:bottom w:w="150" w:type="dxa"/>
              <w:end w:w="180" w:type="dxa"/>
            </w:tcMar>
          </w:tcPr>
          <w:p>
            <w:r>
              <w:t>Document interne. Modele de gouvernance/contrat a valider et signer par les entites concernees avant mise en production ou utilisation contractuelle.</w:t>
            </w:r>
          </w:p>
        </w:tc>
      </w:tr>
    </w:tbl>
    <w:p>
      <w:r/>
    </w:p>
    <w:p>
      <w:pPr>
        <w:pStyle w:val="Heading1"/>
      </w:pPr>
      <w:r>
        <w:t>1. Objet</w:t>
      </w:r>
    </w:p>
    <w:p>
      <w:r>
        <w:t>Le present accord organise les responsabilites d'IAWeb.dev et de HAVET DIGITAL pour les traitements de donnees personnelles qu'elles determinent conjointement dans le cadre de l'exploitation de UNITGROWTH.</w:t>
      </w:r>
    </w:p>
    <w:p>
      <w:r>
        <w:t>IAWEB.DEV : SARL au capital de 100 000 DHS, RC 141395 (Tribunal de Marrakech), ICE 003375388000001, siège au N° 23 Boulevard Yaaqoub El Mansour, Immeuble Espace Gueliz, 1er étage, Bureau N° 5, Gueliz, Marrakech, Maroc, représentée par Gonzague Havet. HAVET DIGITAL : informations sociétaires telles qu’indiquées dans les mentions légales UNITGROWTH.</w:t>
      </w:r>
    </w:p>
    <w:p>
      <w:pPr>
        <w:pStyle w:val="Heading1"/>
      </w:pPr>
      <w:r>
        <w:t>2. Perimetre des traitements communs</w:t>
      </w:r>
    </w:p>
    <w:p>
      <w:pPr>
        <w:pStyle w:val="ListBullet"/>
        <w:spacing w:after="40"/>
      </w:pPr>
      <w:r>
        <w:t>Gestion de l'inscription et du compte UNITGROWTH.</w:t>
      </w:r>
    </w:p>
    <w:p>
      <w:pPr>
        <w:pStyle w:val="ListBullet"/>
        <w:spacing w:after="40"/>
      </w:pPr>
      <w:r>
        <w:t>Reception et traitement des candidatures.</w:t>
      </w:r>
    </w:p>
    <w:p>
      <w:pPr>
        <w:pStyle w:val="ListBullet"/>
        <w:spacing w:after="40"/>
      </w:pPr>
      <w:r>
        <w:t>Qualification, tests et evaluation des profils.</w:t>
      </w:r>
    </w:p>
    <w:p>
      <w:pPr>
        <w:pStyle w:val="ListBullet"/>
        <w:spacing w:after="40"/>
      </w:pPr>
      <w:r>
        <w:t>Matching entre profils et missions.</w:t>
      </w:r>
    </w:p>
    <w:p>
      <w:pPr>
        <w:pStyle w:val="ListBullet"/>
        <w:spacing w:after="40"/>
      </w:pPr>
      <w:r>
        <w:t>Administration commune de la base de talents et de l'historique utile.</w:t>
      </w:r>
    </w:p>
    <w:p>
      <w:pPr>
        <w:pStyle w:val="ListBullet"/>
        <w:spacing w:after="40"/>
      </w:pPr>
      <w:r>
        <w:t>Securite, prevention de la fraude et administration technique commune.</w:t>
      </w:r>
    </w:p>
    <w:p>
      <w:pPr>
        <w:pStyle w:val="Heading1"/>
      </w:pPr>
      <w:r>
        <w:t>3. Repartition des responsabilites</w:t>
      </w:r>
    </w:p>
    <w:tbl>
      <w:tblPr>
        <w:tblStyle w:val="TableGrid"/>
        <w:tblW w:type="auto" w:w="0"/>
        <w:jc w:val="center"/>
        <w:tblLook w:firstColumn="1" w:firstRow="1" w:lastColumn="0" w:lastRow="0" w:noHBand="0" w:noVBand="1" w:val="04A0"/>
      </w:tblPr>
      <w:tblGrid>
        <w:gridCol w:w="4929"/>
        <w:gridCol w:w="4929"/>
      </w:tblGrid>
      <w:tr>
        <w:tc>
          <w:tcPr>
            <w:tcW w:type="dxa" w:w="4929"/>
            <w:shd w:fill="E7EBEF"/>
            <w:tcMar>
              <w:top w:w="100" w:type="dxa"/>
              <w:start w:w="120" w:type="dxa"/>
              <w:bottom w:w="100" w:type="dxa"/>
              <w:end w:w="120" w:type="dxa"/>
            </w:tcMar>
          </w:tcPr>
          <w:p>
            <w:r>
              <w:t>Element</w:t>
            </w:r>
          </w:p>
        </w:tc>
        <w:tc>
          <w:tcPr>
            <w:tcW w:type="dxa" w:w="4929"/>
            <w:shd w:fill="E7EBEF"/>
            <w:tcMar>
              <w:top w:w="100" w:type="dxa"/>
              <w:start w:w="120" w:type="dxa"/>
              <w:bottom w:w="100" w:type="dxa"/>
              <w:end w:w="120" w:type="dxa"/>
            </w:tcMar>
          </w:tcPr>
          <w:p>
            <w:r>
              <w:t>Information</w:t>
            </w:r>
          </w:p>
        </w:tc>
      </w:tr>
      <w:tr>
        <w:tc>
          <w:tcPr>
            <w:tcW w:type="dxa" w:w="4929"/>
            <w:tcMar>
              <w:top w:w="100" w:type="dxa"/>
              <w:start w:w="120" w:type="dxa"/>
              <w:bottom w:w="100" w:type="dxa"/>
              <w:end w:w="120" w:type="dxa"/>
            </w:tcMar>
            <w:vAlign w:val="center"/>
          </w:tcPr>
          <w:p>
            <w:r>
              <w:t>Information des personnes</w:t>
            </w:r>
          </w:p>
        </w:tc>
        <w:tc>
          <w:tcPr>
            <w:tcW w:type="dxa" w:w="4929"/>
            <w:tcMar>
              <w:top w:w="100" w:type="dxa"/>
              <w:start w:w="120" w:type="dxa"/>
              <w:bottom w:w="100" w:type="dxa"/>
              <w:end w:w="120" w:type="dxa"/>
            </w:tcMar>
            <w:vAlign w:val="center"/>
          </w:tcPr>
          <w:p>
            <w:r>
              <w:t>Textes communs publies sur UNITGROWTH ; mise a jour coordonnee.</w:t>
            </w:r>
          </w:p>
        </w:tc>
      </w:tr>
      <w:tr>
        <w:tc>
          <w:tcPr>
            <w:tcW w:type="dxa" w:w="4929"/>
            <w:tcMar>
              <w:top w:w="100" w:type="dxa"/>
              <w:start w:w="120" w:type="dxa"/>
              <w:bottom w:w="100" w:type="dxa"/>
              <w:end w:w="120" w:type="dxa"/>
            </w:tcMar>
            <w:vAlign w:val="center"/>
          </w:tcPr>
          <w:p>
            <w:r>
              <w:t>Base juridique et finalites</w:t>
            </w:r>
          </w:p>
        </w:tc>
        <w:tc>
          <w:tcPr>
            <w:tcW w:type="dxa" w:w="4929"/>
            <w:tcMar>
              <w:top w:w="100" w:type="dxa"/>
              <w:start w:w="120" w:type="dxa"/>
              <w:bottom w:w="100" w:type="dxa"/>
              <w:end w:w="120" w:type="dxa"/>
            </w:tcMar>
            <w:vAlign w:val="center"/>
          </w:tcPr>
          <w:p>
            <w:r>
              <w:t>Validation conjointe pour les traitements communs.</w:t>
            </w:r>
          </w:p>
        </w:tc>
      </w:tr>
      <w:tr>
        <w:tc>
          <w:tcPr>
            <w:tcW w:type="dxa" w:w="4929"/>
            <w:tcMar>
              <w:top w:w="100" w:type="dxa"/>
              <w:start w:w="120" w:type="dxa"/>
              <w:bottom w:w="100" w:type="dxa"/>
              <w:end w:w="120" w:type="dxa"/>
            </w:tcMar>
            <w:vAlign w:val="center"/>
          </w:tcPr>
          <w:p>
            <w:r>
              <w:t>Gestion des droits</w:t>
            </w:r>
          </w:p>
        </w:tc>
        <w:tc>
          <w:tcPr>
            <w:tcW w:type="dxa" w:w="4929"/>
            <w:tcMar>
              <w:top w:w="100" w:type="dxa"/>
              <w:start w:w="120" w:type="dxa"/>
              <w:bottom w:w="100" w:type="dxa"/>
              <w:end w:w="120" w:type="dxa"/>
            </w:tcMar>
            <w:vAlign w:val="center"/>
          </w:tcPr>
          <w:p>
            <w:r>
              <w:t>Toute demande recue par une entite est transmise sans delai a l'autre si elle concerne un traitement commun ; un suivi commun est tenu.</w:t>
            </w:r>
          </w:p>
        </w:tc>
      </w:tr>
      <w:tr>
        <w:tc>
          <w:tcPr>
            <w:tcW w:type="dxa" w:w="4929"/>
            <w:tcMar>
              <w:top w:w="100" w:type="dxa"/>
              <w:start w:w="120" w:type="dxa"/>
              <w:bottom w:w="100" w:type="dxa"/>
              <w:end w:w="120" w:type="dxa"/>
            </w:tcMar>
            <w:vAlign w:val="center"/>
          </w:tcPr>
          <w:p>
            <w:r>
              <w:t>Securite</w:t>
            </w:r>
          </w:p>
        </w:tc>
        <w:tc>
          <w:tcPr>
            <w:tcW w:type="dxa" w:w="4929"/>
            <w:tcMar>
              <w:top w:w="100" w:type="dxa"/>
              <w:start w:w="120" w:type="dxa"/>
              <w:bottom w:w="100" w:type="dxa"/>
              <w:end w:w="120" w:type="dxa"/>
            </w:tcMar>
            <w:vAlign w:val="center"/>
          </w:tcPr>
          <w:p>
            <w:r>
              <w:t>Mesures techniques et organisationnelles coordonnees ; gestion des habilitations selon le besoin d'en connaitre.</w:t>
            </w:r>
          </w:p>
        </w:tc>
      </w:tr>
      <w:tr>
        <w:tc>
          <w:tcPr>
            <w:tcW w:type="dxa" w:w="4929"/>
            <w:tcMar>
              <w:top w:w="100" w:type="dxa"/>
              <w:start w:w="120" w:type="dxa"/>
              <w:bottom w:w="100" w:type="dxa"/>
              <w:end w:w="120" w:type="dxa"/>
            </w:tcMar>
            <w:vAlign w:val="center"/>
          </w:tcPr>
          <w:p>
            <w:r>
              <w:t>Sous-traitants</w:t>
            </w:r>
          </w:p>
        </w:tc>
        <w:tc>
          <w:tcPr>
            <w:tcW w:type="dxa" w:w="4929"/>
            <w:tcMar>
              <w:top w:w="100" w:type="dxa"/>
              <w:start w:w="120" w:type="dxa"/>
              <w:bottom w:w="100" w:type="dxa"/>
              <w:end w:w="120" w:type="dxa"/>
            </w:tcMar>
            <w:vAlign w:val="center"/>
          </w:tcPr>
          <w:p>
            <w:r>
              <w:t>Chaque nouveau prestataire implique dans un traitement commun fait l'objet d'une validation et d'un encadrement contractuel approprie.</w:t>
            </w:r>
          </w:p>
        </w:tc>
      </w:tr>
      <w:tr>
        <w:tc>
          <w:tcPr>
            <w:tcW w:type="dxa" w:w="4929"/>
            <w:tcMar>
              <w:top w:w="100" w:type="dxa"/>
              <w:start w:w="120" w:type="dxa"/>
              <w:bottom w:w="100" w:type="dxa"/>
              <w:end w:w="120" w:type="dxa"/>
            </w:tcMar>
            <w:vAlign w:val="center"/>
          </w:tcPr>
          <w:p>
            <w:r>
              <w:t>Violations de donnees</w:t>
            </w:r>
          </w:p>
        </w:tc>
        <w:tc>
          <w:tcPr>
            <w:tcW w:type="dxa" w:w="4929"/>
            <w:tcMar>
              <w:top w:w="100" w:type="dxa"/>
              <w:start w:w="120" w:type="dxa"/>
              <w:bottom w:w="100" w:type="dxa"/>
              <w:end w:w="120" w:type="dxa"/>
            </w:tcMar>
            <w:vAlign w:val="center"/>
          </w:tcPr>
          <w:p>
            <w:r>
              <w:t>Notification interne immediate entre les parties ; analyse conjointe du risque et coordination des notifications aux autorites/personnes si requises.</w:t>
            </w:r>
          </w:p>
        </w:tc>
      </w:tr>
      <w:tr>
        <w:tc>
          <w:tcPr>
            <w:tcW w:type="dxa" w:w="4929"/>
            <w:tcMar>
              <w:top w:w="100" w:type="dxa"/>
              <w:start w:w="120" w:type="dxa"/>
              <w:bottom w:w="100" w:type="dxa"/>
              <w:end w:w="120" w:type="dxa"/>
            </w:tcMar>
            <w:vAlign w:val="center"/>
          </w:tcPr>
          <w:p>
            <w:r>
              <w:t>Transferts UE/Maroc</w:t>
            </w:r>
          </w:p>
        </w:tc>
        <w:tc>
          <w:tcPr>
            <w:tcW w:type="dxa" w:w="4929"/>
            <w:tcMar>
              <w:top w:w="100" w:type="dxa"/>
              <w:start w:w="120" w:type="dxa"/>
              <w:bottom w:w="100" w:type="dxa"/>
              <w:end w:w="120" w:type="dxa"/>
            </w:tcMar>
            <w:vAlign w:val="center"/>
          </w:tcPr>
          <w:p>
            <w:r>
              <w:t>Mecanisme juridique et documentation de transfert mis en place lorsque requis ; formalites CNDP traitees pour les flux relevant de la loi marocaine.</w:t>
            </w:r>
          </w:p>
        </w:tc>
      </w:tr>
      <w:tr>
        <w:tc>
          <w:tcPr>
            <w:tcW w:type="dxa" w:w="4929"/>
            <w:tcMar>
              <w:top w:w="100" w:type="dxa"/>
              <w:start w:w="120" w:type="dxa"/>
              <w:bottom w:w="100" w:type="dxa"/>
              <w:end w:w="120" w:type="dxa"/>
            </w:tcMar>
            <w:vAlign w:val="center"/>
          </w:tcPr>
          <w:p>
            <w:r>
              <w:t>Conservation</w:t>
            </w:r>
          </w:p>
        </w:tc>
        <w:tc>
          <w:tcPr>
            <w:tcW w:type="dxa" w:w="4929"/>
            <w:tcMar>
              <w:top w:w="100" w:type="dxa"/>
              <w:start w:w="120" w:type="dxa"/>
              <w:bottom w:w="100" w:type="dxa"/>
              <w:end w:w="120" w:type="dxa"/>
            </w:tcMar>
            <w:vAlign w:val="center"/>
          </w:tcPr>
          <w:p>
            <w:r>
              <w:t>Durees communes documentees et appliquees techniquement.</w:t>
            </w:r>
          </w:p>
        </w:tc>
      </w:tr>
      <w:tr>
        <w:tc>
          <w:tcPr>
            <w:tcW w:type="dxa" w:w="4929"/>
            <w:tcMar>
              <w:top w:w="100" w:type="dxa"/>
              <w:start w:w="120" w:type="dxa"/>
              <w:bottom w:w="100" w:type="dxa"/>
              <w:end w:w="120" w:type="dxa"/>
            </w:tcMar>
            <w:vAlign w:val="center"/>
          </w:tcPr>
          <w:p>
            <w:r>
              <w:t>IA de qualification</w:t>
            </w:r>
          </w:p>
        </w:tc>
        <w:tc>
          <w:tcPr>
            <w:tcW w:type="dxa" w:w="4929"/>
            <w:tcMar>
              <w:top w:w="100" w:type="dxa"/>
              <w:start w:w="120" w:type="dxa"/>
              <w:bottom w:w="100" w:type="dxa"/>
              <w:end w:w="120" w:type="dxa"/>
            </w:tcMar>
            <w:vAlign w:val="center"/>
          </w:tcPr>
          <w:p>
            <w:r>
              <w:t>Documentation des fournisseurs, donnees, logique generale, supervision humaine et controle des biais/erreurs adapte au risque.</w:t>
            </w:r>
          </w:p>
        </w:tc>
      </w:tr>
    </w:tbl>
    <w:p>
      <w:r/>
    </w:p>
    <w:p>
      <w:pPr>
        <w:pStyle w:val="Heading1"/>
      </w:pPr>
      <w:r>
        <w:t>4. Point de contact des personnes</w:t>
      </w:r>
    </w:p>
    <w:p>
      <w:r>
        <w:t>Les personnes peuvent contacter contact@iaweb.dev ou service@havetdigital.fr. Les parties peuvent ulterieurement designer une adresse commune (ex. privacy@unitgrowth.net) sans reduire le droit d'exercer les droits aupres de chacune d'elles.</w:t>
      </w:r>
    </w:p>
    <w:p>
      <w:pPr>
        <w:pStyle w:val="Heading1"/>
      </w:pPr>
      <w:r>
        <w:t>5. Traitements propres a une mission</w:t>
      </w:r>
    </w:p>
    <w:p>
      <w:r>
        <w:t>Les donnees de facturation, comptabilite, paiement, contentieux et obligations legales propres a une mission sont principalement gerees par l'entite contractante identifiee dans le document de mission, sauf traitement conjoint reel documente entre les parties.</w:t>
      </w:r>
    </w:p>
    <w:p>
      <w:pPr>
        <w:pStyle w:val="Heading1"/>
      </w:pPr>
      <w:r>
        <w:t>6. Clause de transfert</w:t>
      </w:r>
    </w:p>
    <w:p>
      <w:r>
        <w:t>Avant tout acces regulier depuis le Maroc a des donnees relevant d'un transfert au sens du RGPD, HAVET DIGITAL et IAWeb.dev documentent le mecanisme de transfert approprie et les mesures supplementaires eventuelles. IAWeb.dev verifie en parallele les formalites requises par la loi marocaine n° 09-08 pour les transferts a l'etranger.</w:t>
      </w:r>
    </w:p>
    <w:p>
      <w:pPr>
        <w:pStyle w:val="Heading1"/>
      </w:pPr>
      <w:r>
        <w:t>7. Preuve et gouvernance</w:t>
      </w:r>
    </w:p>
    <w:p>
      <w:r>
        <w:t>Les parties conservent une cartographie des traitements, la liste des prestataires, les decisions de gouvernance, les analyses de risque, les incidents et les demandes de droits. Une revue est organisee au moins annuellement et a chaque evolution majeure de UNITGROWTH.</w:t>
      </w:r>
    </w:p>
    <w:p>
      <w:pPr>
        <w:pStyle w:val="Heading1"/>
      </w:pPr>
      <w:r>
        <w:t>8. Signatures</w:t>
      </w:r>
    </w:p>
    <w:tbl>
      <w:tblPr>
        <w:tblStyle w:val="TableGrid"/>
        <w:tblW w:type="auto" w:w="0"/>
        <w:jc w:val="center"/>
        <w:tblLook w:firstColumn="1" w:firstRow="1" w:lastColumn="0" w:lastRow="0" w:noHBand="0" w:noVBand="1" w:val="04A0"/>
      </w:tblPr>
      <w:tblGrid>
        <w:gridCol w:w="4929"/>
        <w:gridCol w:w="4929"/>
      </w:tblGrid>
      <w:tr>
        <w:tc>
          <w:tcPr>
            <w:tcW w:type="dxa" w:w="4929"/>
            <w:shd w:fill="E7EBEF"/>
            <w:tcMar>
              <w:top w:w="100" w:type="dxa"/>
              <w:start w:w="120" w:type="dxa"/>
              <w:bottom w:w="100" w:type="dxa"/>
              <w:end w:w="120" w:type="dxa"/>
            </w:tcMar>
          </w:tcPr>
          <w:p>
            <w:r>
              <w:t>Element</w:t>
            </w:r>
          </w:p>
        </w:tc>
        <w:tc>
          <w:tcPr>
            <w:tcW w:type="dxa" w:w="4929"/>
            <w:shd w:fill="E7EBEF"/>
            <w:tcMar>
              <w:top w:w="100" w:type="dxa"/>
              <w:start w:w="120" w:type="dxa"/>
              <w:bottom w:w="100" w:type="dxa"/>
              <w:end w:w="120" w:type="dxa"/>
            </w:tcMar>
          </w:tcPr>
          <w:p>
            <w:r>
              <w:t>Information</w:t>
            </w:r>
          </w:p>
        </w:tc>
      </w:tr>
      <w:tr>
        <w:tc>
          <w:tcPr>
            <w:tcW w:type="dxa" w:w="4929"/>
            <w:tcMar>
              <w:top w:w="100" w:type="dxa"/>
              <w:start w:w="120" w:type="dxa"/>
              <w:bottom w:w="100" w:type="dxa"/>
              <w:end w:w="120" w:type="dxa"/>
            </w:tcMar>
            <w:vAlign w:val="center"/>
          </w:tcPr>
          <w:p>
            <w:r>
              <w:t>Pour IAWEB.DEV</w:t>
            </w:r>
          </w:p>
        </w:tc>
        <w:tc>
          <w:tcPr>
            <w:tcW w:type="dxa" w:w="4929"/>
            <w:tcMar>
              <w:top w:w="100" w:type="dxa"/>
              <w:start w:w="120" w:type="dxa"/>
              <w:bottom w:w="100" w:type="dxa"/>
              <w:end w:w="120" w:type="dxa"/>
            </w:tcMar>
            <w:vAlign w:val="center"/>
          </w:tcPr>
          <w:p>
            <w:r>
              <w:t>Gonzague Havet, représentant légal</w:t>
              <w:br/>
              <w:t>Date / signature :</w:t>
            </w:r>
          </w:p>
        </w:tc>
      </w:tr>
      <w:tr>
        <w:tc>
          <w:tcPr>
            <w:tcW w:type="dxa" w:w="4929"/>
            <w:tcMar>
              <w:top w:w="100" w:type="dxa"/>
              <w:start w:w="120" w:type="dxa"/>
              <w:bottom w:w="100" w:type="dxa"/>
              <w:end w:w="120" w:type="dxa"/>
            </w:tcMar>
            <w:vAlign w:val="center"/>
          </w:tcPr>
          <w:p>
            <w:r>
              <w:t>Pour HAVET DIGITAL</w:t>
            </w:r>
          </w:p>
        </w:tc>
        <w:tc>
          <w:tcPr>
            <w:tcW w:type="dxa" w:w="4929"/>
            <w:tcMar>
              <w:top w:w="100" w:type="dxa"/>
              <w:start w:w="120" w:type="dxa"/>
              <w:bottom w:w="100" w:type="dxa"/>
              <w:end w:w="120" w:type="dxa"/>
            </w:tcMar>
            <w:vAlign w:val="center"/>
          </w:tcPr>
          <w:p>
            <w:r>
              <w:t>Gonzague Havet, President</w:t>
              <w:br/>
              <w:t>Date / signature :</w:t>
            </w:r>
          </w:p>
        </w:tc>
      </w:tr>
    </w:tbl>
    <w:p>
      <w:r/>
    </w:p>
    <w:sectPr w:rsidR="00FC693F" w:rsidRPr="0006063C" w:rsidSect="00034616">
      <w:footerReference w:type="default" r:id="rId9"/>
      <w:headerReference w:type="default" r:id="rId10"/>
      <w:pgSz w:w="12240" w:h="15840"/>
      <w:pgMar w:top="113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UNITGROWTH - Pack juridique</w:t>
    </w:r>
  </w:p>
  <w:p>
    <w:pP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4181C"/>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4181C"/>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4181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4181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