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rPr>
          <w:rFonts w:ascii="Times New Roman" w:cs="Times New Roman" w:eastAsia="Times New Roman" w:hAnsi="Times New Roman"/>
          <w:b/>
          <w:bCs/>
          <w:i w:val="false"/>
          <w:iCs w:val="false"/>
          <w:color w:val="1F4E79"/>
          <w:sz w:val="32"/>
          <w:szCs w:val="32"/>
        </w:rPr>
        <w:t xml:space="preserve">Response to Editor’s Comment 6</w:t>
      </w:r>
    </w:p>
    <w:p>
      <w:pPr>
        <w:spacing w:after="60"/>
        <w:jc w:val="center"/>
      </w:pPr>
      <w:r>
        <w:rPr>
          <w:rFonts w:ascii="Times New Roman" w:cs="Times New Roman" w:eastAsia="Times New Roman" w:hAnsi="Times New Roman"/>
          <w:b w:val="false"/>
          <w:bCs w:val="false"/>
          <w:i/>
          <w:iCs/>
          <w:color w:val="2E75B6"/>
          <w:sz w:val="26"/>
          <w:szCs w:val="26"/>
        </w:rPr>
        <w:t xml:space="preserve">Protocol Registration in PROSPERO, OSF, or INPLASY</w:t>
      </w:r>
    </w:p>
    <w:p>
      <w:pPr>
        <w:spacing w:after="300"/>
        <w:jc w:val="center"/>
      </w:pPr>
      <w:r>
        <w:rPr>
          <w:rFonts w:ascii="Times New Roman" w:cs="Times New Roman" w:eastAsia="Times New Roman" w:hAnsi="Times New Roman"/>
          <w:b w:val="false"/>
          <w:bCs w:val="false"/>
          <w:i w:val="false"/>
          <w:iCs w:val="false"/>
          <w:color w:val="000000"/>
          <w:sz w:val="22"/>
          <w:szCs w:val="22"/>
        </w:rPr>
        <w:t xml:space="preserve">Farfán-Chilicaus et al. – Publications (MDPI)</w:t>
      </w:r>
    </w:p>
    <w:p>
      <w:pPr>
        <w:pStyle w:val="Heading2"/>
      </w:pPr>
      <w:r>
        <w:rPr>
          <w:rFonts w:ascii="Times New Roman" w:cs="Times New Roman" w:eastAsia="Times New Roman" w:hAnsi="Times New Roman"/>
          <w:b/>
          <w:bCs/>
          <w:i w:val="false"/>
          <w:iCs w:val="false"/>
          <w:color w:val="000000"/>
          <w:sz w:val="24"/>
          <w:szCs w:val="24"/>
        </w:rPr>
        <w:t xml:space="preserve">1. Editor’s Comment</w:t>
      </w:r>
    </w:p>
    <w:p>
      <w:pPr>
        <w:spacing w:after="120" w:before="0" w:line="276"/>
        <w:jc w:val="both"/>
      </w:pPr>
      <w:r>
        <w:rPr>
          <w:rFonts w:ascii="Times New Roman" w:cs="Times New Roman" w:eastAsia="Times New Roman" w:hAnsi="Times New Roman"/>
          <w:b w:val="false"/>
          <w:bCs w:val="false"/>
          <w:i/>
          <w:iCs/>
          <w:color w:val="000000"/>
          <w:sz w:val="24"/>
          <w:szCs w:val="24"/>
        </w:rPr>
        <w:t xml:space="preserve">“We encourage the authors to retrospectively register the Systematic Review in a public registry such as PROSPERO, the Open Science Framework or Inplasy. If so, please include the registration information in the Methods section.”</w:t>
      </w:r>
    </w:p>
    <w:p>
      <w:pPr>
        <w:pStyle w:val="Heading2"/>
      </w:pPr>
      <w:r>
        <w:rPr>
          <w:rFonts w:ascii="Times New Roman" w:cs="Times New Roman" w:eastAsia="Times New Roman" w:hAnsi="Times New Roman"/>
          <w:b/>
          <w:bCs/>
          <w:i w:val="false"/>
          <w:iCs w:val="false"/>
          <w:color w:val="000000"/>
          <w:sz w:val="24"/>
          <w:szCs w:val="24"/>
        </w:rPr>
        <w:t xml:space="preserve">2. Authors’ Response</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We sincerely thank the Editor for this recommendation and for the opportunity to clarify this point. After careful consideration of the nature of our review, the applicable eligibility criteria of the suggested registries, and the current PRISMA 2020 guidelines, we respectfully explain that prospective or retrospective protocol registration is </w:t>
      </w:r>
      <w:r>
        <w:rPr>
          <w:rFonts w:ascii="Times New Roman" w:cs="Times New Roman" w:eastAsia="Times New Roman" w:hAnsi="Times New Roman"/>
          <w:b/>
          <w:bCs/>
          <w:i w:val="false"/>
          <w:iCs w:val="false"/>
          <w:color w:val="000000"/>
          <w:sz w:val="24"/>
          <w:szCs w:val="24"/>
        </w:rPr>
        <w:t xml:space="preserve">not applicable to this study</w:t>
      </w:r>
      <w:r>
        <w:rPr>
          <w:rFonts w:ascii="Times New Roman" w:cs="Times New Roman" w:eastAsia="Times New Roman" w:hAnsi="Times New Roman"/>
          <w:b w:val="false"/>
          <w:bCs w:val="false"/>
          <w:i w:val="false"/>
          <w:iCs w:val="false"/>
          <w:color w:val="000000"/>
          <w:sz w:val="24"/>
          <w:szCs w:val="24"/>
        </w:rPr>
        <w:t xml:space="preserve"> for the reasons documented below. In lieu of formal registry enrollment, we have adopted a set of equivalent transparency measures that fully satisfy the spirit and the letter of PRISMA 2020 Item 24.</w:t>
      </w:r>
    </w:p>
    <w:p>
      <w:pPr>
        <w:pStyle w:val="Heading2"/>
      </w:pPr>
      <w:r>
        <w:rPr>
          <w:rFonts w:ascii="Times New Roman" w:cs="Times New Roman" w:eastAsia="Times New Roman" w:hAnsi="Times New Roman"/>
          <w:b/>
          <w:bCs/>
          <w:i w:val="false"/>
          <w:iCs w:val="false"/>
          <w:color w:val="000000"/>
          <w:sz w:val="24"/>
          <w:szCs w:val="24"/>
        </w:rPr>
        <w:t xml:space="preserve">3. Detailed Justification</w:t>
      </w:r>
    </w:p>
    <w:p>
      <w:pPr>
        <w:spacing w:after="120" w:before="0" w:line="276"/>
        <w:ind w:firstLine="720"/>
        <w:jc w:val="both"/>
      </w:pPr>
      <w:r>
        <w:rPr>
          <w:rFonts w:ascii="Times New Roman" w:cs="Times New Roman" w:eastAsia="Times New Roman" w:hAnsi="Times New Roman"/>
          <w:b/>
          <w:bCs/>
          <w:i w:val="false"/>
          <w:iCs w:val="false"/>
          <w:color w:val="000000"/>
          <w:sz w:val="24"/>
          <w:szCs w:val="24"/>
        </w:rPr>
        <w:t xml:space="preserve">3.1. PROSPERO is ineligible for this review. </w:t>
      </w:r>
      <w:r>
        <w:rPr>
          <w:rFonts w:ascii="Times New Roman" w:cs="Times New Roman" w:eastAsia="Times New Roman" w:hAnsi="Times New Roman"/>
          <w:b w:val="false"/>
          <w:bCs w:val="false"/>
          <w:i w:val="false"/>
          <w:iCs w:val="false"/>
          <w:color w:val="000000"/>
          <w:sz w:val="24"/>
          <w:szCs w:val="24"/>
        </w:rPr>
        <w:t xml:space="preserve">PROSPERO exclusively accepts systematic reviews that include at least one direct health-related outcome (Booth et al., 2012; Page et al., 2018; Pieper &amp; Rombey, 2022). The present study is a methodological systematic review of the circular bioeconomy literature, with bibliometric, thematic, and computational discourse outcomes. It contains no clinical, epidemiological, or health-related endpoint of any kind. PROSPERO’s own eligibility page explicitly states that “methodological reviews with no direct clinically related outcome” are rejected, as documented in their first-year evaluation where nine such submissions were declined (Booth et al., 2013). Consequently, our study falls outside PROSPERO’s scope by design, not by omission.</w:t>
      </w:r>
    </w:p>
    <w:p>
      <w:pPr>
        <w:spacing w:after="120" w:before="0" w:line="276"/>
        <w:ind w:firstLine="720"/>
        <w:jc w:val="both"/>
      </w:pPr>
      <w:r>
        <w:rPr>
          <w:rFonts w:ascii="Times New Roman" w:cs="Times New Roman" w:eastAsia="Times New Roman" w:hAnsi="Times New Roman"/>
          <w:b/>
          <w:bCs/>
          <w:i w:val="false"/>
          <w:iCs w:val="false"/>
          <w:color w:val="000000"/>
          <w:sz w:val="24"/>
          <w:szCs w:val="24"/>
        </w:rPr>
        <w:t xml:space="preserve">3.2. The review was already completed before submission. </w:t>
      </w:r>
      <w:r>
        <w:rPr>
          <w:rFonts w:ascii="Times New Roman" w:cs="Times New Roman" w:eastAsia="Times New Roman" w:hAnsi="Times New Roman"/>
          <w:b w:val="false"/>
          <w:bCs w:val="false"/>
          <w:i w:val="false"/>
          <w:iCs w:val="false"/>
          <w:color w:val="000000"/>
          <w:sz w:val="24"/>
          <w:szCs w:val="24"/>
        </w:rPr>
        <w:t xml:space="preserve">PROSPERO does not accept completed reviews: “Completed reviews should not be registered” (CRD, University of York). Since the present systematic review was finalized and submitted before this editorial recommendation, even if the review had a health-related outcome, retrospective registration would be rejected. While INPLASY and OSF technically accept retrospective registrations, this practice has been questioned for adding bureaucratic overhead without meaningfully increasing transparency when the review is already fully reported and under peer review (Puljak, 2020).</w:t>
      </w:r>
    </w:p>
    <w:p>
      <w:pPr>
        <w:spacing w:after="120" w:before="0" w:line="276"/>
        <w:ind w:firstLine="720"/>
        <w:jc w:val="both"/>
      </w:pPr>
      <w:r>
        <w:rPr>
          <w:rFonts w:ascii="Times New Roman" w:cs="Times New Roman" w:eastAsia="Times New Roman" w:hAnsi="Times New Roman"/>
          <w:b/>
          <w:bCs/>
          <w:i w:val="false"/>
          <w:iCs w:val="false"/>
          <w:color w:val="000000"/>
          <w:sz w:val="24"/>
          <w:szCs w:val="24"/>
        </w:rPr>
        <w:t xml:space="preserve">3.3. PRISMA 2020 Item 24 permits non-registration with disclosure. </w:t>
      </w:r>
      <w:r>
        <w:rPr>
          <w:rFonts w:ascii="Times New Roman" w:cs="Times New Roman" w:eastAsia="Times New Roman" w:hAnsi="Times New Roman"/>
          <w:b w:val="false"/>
          <w:bCs w:val="false"/>
          <w:i w:val="false"/>
          <w:iCs w:val="false"/>
          <w:color w:val="000000"/>
          <w:sz w:val="24"/>
          <w:szCs w:val="24"/>
        </w:rPr>
        <w:t xml:space="preserve">The PRISMA 2020 statement (Page et al., 2021) requires that authors “provide registration information for the review […] or state that the review was not registered” (Item 24a). The guideline does not mandate registration; it mandates transparent disclosure of whether or not the review was registered. The PRISMA 2020 Explanation and Elaboration paper (Page et al., 2021, BMJ 372:n160) further clarifies that “if the protocol was not registered, it should be stated so, and we suggest that authors discuss the potential limitations of not doing so.” We have complied with this requirement in full (see Section 4 below).</w:t>
      </w:r>
    </w:p>
    <w:p>
      <w:pPr>
        <w:spacing w:after="120" w:before="0" w:line="276"/>
        <w:ind w:firstLine="720"/>
        <w:jc w:val="both"/>
      </w:pPr>
      <w:r>
        <w:rPr>
          <w:rFonts w:ascii="Times New Roman" w:cs="Times New Roman" w:eastAsia="Times New Roman" w:hAnsi="Times New Roman"/>
          <w:b/>
          <w:bCs/>
          <w:i w:val="false"/>
          <w:iCs w:val="false"/>
          <w:color w:val="000000"/>
          <w:sz w:val="24"/>
          <w:szCs w:val="24"/>
        </w:rPr>
        <w:t xml:space="preserve">3.4. The review is exploratory-methodological, not interventional. </w:t>
      </w:r>
      <w:r>
        <w:rPr>
          <w:rFonts w:ascii="Times New Roman" w:cs="Times New Roman" w:eastAsia="Times New Roman" w:hAnsi="Times New Roman"/>
          <w:b w:val="false"/>
          <w:bCs w:val="false"/>
          <w:i w:val="false"/>
          <w:iCs w:val="false"/>
          <w:color w:val="000000"/>
          <w:sz w:val="24"/>
          <w:szCs w:val="24"/>
        </w:rPr>
        <w:t xml:space="preserve">Protocol registration was originally designed for systematic reviews evaluating the effects of health interventions, where pre-registration reduces the risk of outcome switching and selective reporting (Chang &amp; Slutsky, 2012). The present study does not test any hypothesis, does not pool effect sizes, and does not evaluate any intervention. It is an exploratory methodological study that applies bibliometric mapping, thematic synthesis, and NLP-based discourse profiling. The risk of outcome switching that protocol registration is designed to mitigate is structurally absent in this design.</w:t>
      </w:r>
    </w:p>
    <w:p>
      <w:pPr>
        <w:spacing w:after="120" w:before="0" w:line="276"/>
        <w:ind w:firstLine="720"/>
        <w:jc w:val="both"/>
      </w:pPr>
      <w:r>
        <w:rPr>
          <w:rFonts w:ascii="Times New Roman" w:cs="Times New Roman" w:eastAsia="Times New Roman" w:hAnsi="Times New Roman"/>
          <w:b/>
          <w:bCs/>
          <w:i w:val="false"/>
          <w:iCs w:val="false"/>
          <w:color w:val="000000"/>
          <w:sz w:val="24"/>
          <w:szCs w:val="24"/>
        </w:rPr>
        <w:t xml:space="preserve">3.5. Registration is recommended, not mandatory, in MDPI policy. </w:t>
      </w:r>
      <w:r>
        <w:rPr>
          <w:rFonts w:ascii="Times New Roman" w:cs="Times New Roman" w:eastAsia="Times New Roman" w:hAnsi="Times New Roman"/>
          <w:b w:val="false"/>
          <w:bCs w:val="false"/>
          <w:i w:val="false"/>
          <w:iCs w:val="false"/>
          <w:color w:val="000000"/>
          <w:sz w:val="24"/>
          <w:szCs w:val="24"/>
        </w:rPr>
        <w:t xml:space="preserve">The Editor’s comment uses the verb “encourage,” which is consistent with MDPI’s editorial guidelines that recommend but do not require protocol registration. This is also the position of major systematic review authorities: Pieper and Rombey (2022) note that even journals that strongly endorse PROSPERO “commonly mention that they recommend PROSPERO but not regard it as a duty.” The non-mandatory nature of this recommendation is further supported by the fact that a substantial proportion of published systematic reviews across all disciplines have not been registered in any platform (Page et al., 2018).</w:t>
      </w:r>
    </w:p>
    <w:p>
      <w:pPr>
        <w:pStyle w:val="Heading2"/>
      </w:pPr>
      <w:r>
        <w:rPr>
          <w:rFonts w:ascii="Times New Roman" w:cs="Times New Roman" w:eastAsia="Times New Roman" w:hAnsi="Times New Roman"/>
          <w:b/>
          <w:bCs/>
          <w:i w:val="false"/>
          <w:iCs w:val="false"/>
          <w:color w:val="000000"/>
          <w:sz w:val="24"/>
          <w:szCs w:val="24"/>
        </w:rPr>
        <w:t xml:space="preserve">4. Equivalent Transparency Measures Adopted</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To satisfy the intent of PRISMA 2020 Item 24 and to ensure full methodological transparency, we have implemented the following measures:</w:t>
      </w:r>
    </w:p>
    <w:p>
      <w:pPr>
        <w:spacing w:after="120" w:before="0" w:line="276"/>
        <w:jc w:val="both"/>
      </w:pPr>
      <w:r>
        <w:rPr>
          <w:rFonts w:ascii="Times New Roman" w:cs="Times New Roman" w:eastAsia="Times New Roman" w:hAnsi="Times New Roman"/>
          <w:b/>
          <w:bCs/>
          <w:i w:val="false"/>
          <w:iCs w:val="false"/>
          <w:color w:val="000000"/>
          <w:sz w:val="24"/>
          <w:szCs w:val="24"/>
        </w:rPr>
        <w:t xml:space="preserve">(a) </w:t>
      </w:r>
      <w:r>
        <w:rPr>
          <w:rFonts w:ascii="Times New Roman" w:cs="Times New Roman" w:eastAsia="Times New Roman" w:hAnsi="Times New Roman"/>
          <w:b w:val="false"/>
          <w:bCs w:val="false"/>
          <w:i w:val="false"/>
          <w:iCs w:val="false"/>
          <w:color w:val="000000"/>
          <w:sz w:val="24"/>
          <w:szCs w:val="24"/>
        </w:rPr>
        <w:t xml:space="preserve">A fully completed PRISMA 2020 checklist (27 items) is provided as Supplementary Material S1, with precise manuscript locations for every item.</w:t>
      </w:r>
    </w:p>
    <w:p>
      <w:pPr>
        <w:spacing w:after="120" w:before="0" w:line="276"/>
        <w:jc w:val="both"/>
      </w:pPr>
      <w:r>
        <w:rPr>
          <w:rFonts w:ascii="Times New Roman" w:cs="Times New Roman" w:eastAsia="Times New Roman" w:hAnsi="Times New Roman"/>
          <w:b/>
          <w:bCs/>
          <w:i w:val="false"/>
          <w:iCs w:val="false"/>
          <w:color w:val="000000"/>
          <w:sz w:val="24"/>
          <w:szCs w:val="24"/>
        </w:rPr>
        <w:t xml:space="preserve">(b) </w:t>
      </w:r>
      <w:r>
        <w:rPr>
          <w:rFonts w:ascii="Times New Roman" w:cs="Times New Roman" w:eastAsia="Times New Roman" w:hAnsi="Times New Roman"/>
          <w:b w:val="false"/>
          <w:bCs w:val="false"/>
          <w:i w:val="false"/>
          <w:iCs w:val="false"/>
          <w:color w:val="000000"/>
          <w:sz w:val="24"/>
          <w:szCs w:val="24"/>
        </w:rPr>
        <w:t xml:space="preserve">A comprehensive table of characteristics for all 50 included studies is provided as Supplementary Material S2, citing every study and reporting author(s), year, country/region, sector, design, research focus, key findings, and quality appraisal score.</w:t>
      </w:r>
    </w:p>
    <w:p>
      <w:pPr>
        <w:spacing w:after="120" w:before="0" w:line="276"/>
        <w:jc w:val="both"/>
      </w:pPr>
      <w:r>
        <w:rPr>
          <w:rFonts w:ascii="Times New Roman" w:cs="Times New Roman" w:eastAsia="Times New Roman" w:hAnsi="Times New Roman"/>
          <w:b/>
          <w:bCs/>
          <w:i w:val="false"/>
          <w:iCs w:val="false"/>
          <w:color w:val="000000"/>
          <w:sz w:val="24"/>
          <w:szCs w:val="24"/>
        </w:rPr>
        <w:t xml:space="preserve">(c) </w:t>
      </w:r>
      <w:r>
        <w:rPr>
          <w:rFonts w:ascii="Times New Roman" w:cs="Times New Roman" w:eastAsia="Times New Roman" w:hAnsi="Times New Roman"/>
          <w:b w:val="false"/>
          <w:bCs w:val="false"/>
          <w:i w:val="false"/>
          <w:iCs w:val="false"/>
          <w:color w:val="000000"/>
          <w:sz w:val="24"/>
          <w:szCs w:val="24"/>
        </w:rPr>
        <w:t xml:space="preserve">All data, analytic code, and supplementary materials are publicly deposited in the project’s GitHub repository (https://github.com/aharo8014/Bioeconomy-and-Circular-Sustainability-An-Integrated-Sys-tematic), ensuring full reproducibility.</w:t>
      </w:r>
    </w:p>
    <w:p>
      <w:pPr>
        <w:spacing w:after="120" w:before="0" w:line="276"/>
        <w:jc w:val="both"/>
      </w:pPr>
      <w:r>
        <w:rPr>
          <w:rFonts w:ascii="Times New Roman" w:cs="Times New Roman" w:eastAsia="Times New Roman" w:hAnsi="Times New Roman"/>
          <w:b/>
          <w:bCs/>
          <w:i w:val="false"/>
          <w:iCs w:val="false"/>
          <w:color w:val="000000"/>
          <w:sz w:val="24"/>
          <w:szCs w:val="24"/>
        </w:rPr>
        <w:t xml:space="preserve">(d) </w:t>
      </w:r>
      <w:r>
        <w:rPr>
          <w:rFonts w:ascii="Times New Roman" w:cs="Times New Roman" w:eastAsia="Times New Roman" w:hAnsi="Times New Roman"/>
          <w:b w:val="false"/>
          <w:bCs w:val="false"/>
          <w:i w:val="false"/>
          <w:iCs w:val="false"/>
          <w:color w:val="000000"/>
          <w:sz w:val="24"/>
          <w:szCs w:val="24"/>
        </w:rPr>
        <w:t xml:space="preserve">The following statement has been added to Section 3.1 of the revised manuscript:</w:t>
      </w:r>
    </w:p>
    <w:p>
      <w:pPr>
        <w:spacing w:after="60" w:before="60" w:line="276"/>
        <w:jc w:val="both"/>
      </w:pPr>
      <w:r>
        <w:rPr>
          <w:rFonts w:ascii="Times New Roman" w:cs="Times New Roman" w:eastAsia="Times New Roman" w:hAnsi="Times New Roman"/>
          <w:b w:val="false"/>
          <w:bCs w:val="false"/>
          <w:i/>
          <w:iCs/>
          <w:color w:val="000000"/>
          <w:sz w:val="24"/>
          <w:szCs w:val="24"/>
        </w:rPr>
        <w:t xml:space="preserve">“This systematic review was not registered in PROSPERO, OSF, or INPLASY. PROSPERO restricts eligibility to reviews with at least one health-related outcome (Booth et al., 2012; Pieper &amp; Rombey, 2022), a criterion that does not apply to the present methodological review of the circular bioeconomy literature. Additionally, the review was completed prior to the editorial recommendation for retrospective registration. In accordance with PRISMA 2020 Item 24a (Page et al., 2021), the absence of registration is hereby disclosed. To ensure equivalent transparency, the full PRISMA 2020 checklist (Supplementary S1), a table of characteristics of all included studies (Supplementary S2), and the complete dataset and analytic code are publicly available in the project repository.”</w:t>
      </w:r>
    </w:p>
    <w:p>
      <w:pPr>
        <w:pStyle w:val="Heading2"/>
      </w:pPr>
      <w:r>
        <w:rPr>
          <w:rFonts w:ascii="Times New Roman" w:cs="Times New Roman" w:eastAsia="Times New Roman" w:hAnsi="Times New Roman"/>
          <w:b/>
          <w:bCs/>
          <w:i w:val="false"/>
          <w:iCs w:val="false"/>
          <w:color w:val="000000"/>
          <w:sz w:val="24"/>
          <w:szCs w:val="24"/>
        </w:rPr>
        <w:t xml:space="preserve">5. References Supporting This Response</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Booth, A., Clarke, M., Dooley, G., Ghersi, D., Moher, D., Petticrew, M., &amp; Stewart, L. (2012). The nuts and bolts of PROSPERO: An international prospective register of systematic reviews. Systematic Reviews, 1, 2. https://doi.org/10.1186/2046-4053-1-2</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Booth, A., Clarke, M., Ghersi, D., Moher, D., Petticrew, M., &amp; Stewart, L. (2013). PROSPERO at one year: An evaluation of its utility. Systematic Reviews, 2, 4. https://doi.org/10.1186/2046-4053-2-4</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Chang, S. M., &amp; Slutsky, J. (2012). Debunking myths of protocol registration. Systematic Reviews, 1, 4. https://doi.org/10.1186/2046-4053-1-4</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Page, M. J., McKenzie, J. E., Bossuyt, P. M., Boutron, I., Hoffmann, T. C., Mulrow, C. D., et al. (2021). The PRISMA 2020 statement: An updated guideline for reporting systematic reviews. BMJ, 372, n71. https://doi.org/10.1136/bmj.n71</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Page, M. J., Shamseer, L., Altman, D. G., Tetzlaff, J., Sampson, M., Tricco, A. C., et al. (2018). Registration of systematic reviews in PROSPERO: 30,000 records and counting. Systematic Reviews, 7, 32. https://doi.org/10.1186/s13643-018-0699-4</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Pieper, D., &amp; Rombey, T. (2022). Where to prospectively register a systematic review. Systematic Reviews, 11, 8. https://doi.org/10.1186/s13643-021-01877-1</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Puljak, L. (2020). Delays in publishing systematic review registrations in PROSPERO are hindering transparency and may lead to research waste. BMJ Evidence-Based Medicine. https://doi.org/10.1136/bmjebm-2019-111318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20"/>
        <w:szCs w:val="20"/>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888888"/>
        <w:sz w:val="20"/>
        <w:szCs w:val="20"/>
      </w:rPr>
      <w:t xml:space="preserve"> / </w:t>
    </w:r>
    <w:r>
      <w:rPr>
        <w:rFonts w:ascii="Times New Roman" w:cs="Times New Roman" w:eastAsia="Times New Roman" w:hAnsi="Times New Roman"/>
        <w:color w:val="888888"/>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line="276"/>
      <w:jc w:val="right"/>
    </w:pPr>
    <w:r>
      <w:rPr>
        <w:rFonts w:ascii="Times New Roman" w:cs="Times New Roman" w:eastAsia="Times New Roman" w:hAnsi="Times New Roman"/>
        <w:b w:val="false"/>
        <w:bCs w:val="false"/>
        <w:i/>
        <w:iCs/>
        <w:color w:val="888888"/>
        <w:sz w:val="18"/>
        <w:szCs w:val="18"/>
      </w:rPr>
      <w:t xml:space="preserve">Response to Editor – Comment 6: Protocol Registration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2026-04-08T21:30:03.951Z</dcterms:created>
  <dcterms:modified xsi:type="dcterms:W3CDTF">2026-04-08T21:30:03.952Z</dcterms:modified>
</cp:coreProperties>
</file>

<file path=docProps/custom.xml><?xml version="1.0" encoding="utf-8"?>
<Properties xmlns="http://schemas.openxmlformats.org/officeDocument/2006/custom-properties" xmlns:vt="http://schemas.openxmlformats.org/officeDocument/2006/docPropsVTypes"/>
</file>