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B449A"/>
          <w:sz w:val="52"/>
          <w:szCs w:val="52"/>
        </w:rPr>
        <w:t xml:space="preserve">AGENT LIFECYCLE FRAMEWORK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Architecture Reference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—  Production-Grade Multi-Agent Platform</w:t>
      </w:r>
    </w:p>
    <w:p>
      <w:pPr>
        <w:pBdr>
          <w:bottom w:val="single" w:color="2B449A" w:sz="8" w:space="1"/>
        </w:pBdr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Purpose.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This document defines the complete architecture of the Agent Lifecycle Framework — a production-grade platform for managing thousands of concurrent, specialized AI agents across three lifecycle phases: Apprentice, Journeyman, and Work.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Design philosophy.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Production readiness is the primary design constraint. Agents become progressively less plastic as they advance through phases, mirroring human professional development. Human oversight is non-negotiable at all certification gates.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Scope.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Covers lifecycle architecture, kernel internals, multi-agent workflow design, simulation engine, and the full technology stack.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449A"/>
          <w:sz w:val="32"/>
          <w:szCs w:val="32"/>
        </w:rPr>
        <w:t xml:space="preserve">1. Agent Lifecycle Architecture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agent in the platform passes through exactly three phases. Phase progression is strictly one-directional and gated by human expert approval. Agents never regress to a prior phase; if a team composition changes, affected agents enter a re-certification track, not a demotion.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1200"/>
        <w:gridCol w:w="216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Condition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Apprentice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Socratic Q&amp;A with domain expert to build knowledge 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Expert answers questions, approves graduation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Cert 1 gate — expert approval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Journeyman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Executes real tasks under expert supervision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Expert reviews outputs asynchronously (shadow mode)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Cert 2 gate — expert approval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production execution with low plasticity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(never zero)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Escalation recipient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N/A — permanent unless re-cert triggered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49A"/>
          <w:sz w:val="26"/>
          <w:szCs w:val="26"/>
        </w:rPr>
        <w:t xml:space="preserve">1.1 Plasticity Decay Principle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Learning rate is a first-class operational property stored in the KV state store. It governs how aggressively new runtime observations update the agent’s knowledge. It decays monotonically across phases but never reaches zero — work-phase agents still capture genuine edge cases, but with a much higher integration barrier.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449A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Key invariant: No work-phase agent can write directly to the certified KB. All runtime observations flow into the delta quarantine store first and require explicit promotion.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49A"/>
          <w:sz w:val="26"/>
          <w:szCs w:val="26"/>
        </w:rPr>
        <w:t xml:space="preserve">1.2 Memory Architecture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Agent knowledge is distributed across three complementary stores, each optimized for a different retrieval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Vector DB (Qdrant) — certified KB for semantic retrieval. Write-once, versioned. Queried by similarity + metadata filters (agent type, phase, confidence threshold).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Graph DB (Kuzu) — domain knowledge graph storing concept relationships, handoff logic, and coordination contracts. Two namespaces per agent: task and coordination.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KV Store (Redis) — operational state: current phase, readiness score, learning rate, workflow instance context. Sub-millisecond read latency.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Delta quarantine (Postgres) — runtime learnings from work-phase agents. Versioned rows promoted to certified KB via a PR-like review process.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49A"/>
          <w:sz w:val="26"/>
          <w:szCs w:val="26"/>
        </w:rPr>
        <w:t xml:space="preserve">1.3 Certification Gates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Certification gates are the most safety-critical components in the platform. Two gates exist: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Cert 1 (Apprentice → Journeyman): Triggered when the proposal scorer crosses threshold AND readiness scorer indicates sufficient graph coverage. Expert reviews and clicks approve. Automated scoring is advisory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Cert 2 (Journeyman → Work): Purely human-gated. Expert reviews supervised practice logs and simulation run history. No automated scoring can trigger this gate.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A0E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Safety invariant: Automated scoring informs but never replaces expert judgment at certification gates. A high readiness score surfaces a graduation recommendation — it does not graduate the agent.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449A"/>
          <w:sz w:val="32"/>
          <w:szCs w:val="32"/>
        </w:rPr>
        <w:t xml:space="preserve">2. Apprentice Kernel Internals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apprentice kernel is the agent’s learning engine. It drives Socratic Q&amp;A sessions with the domain expert, builds the knowledge graph, and computes readiness scores. It operates as a feedback loop until the expert approves graduation.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49A"/>
          <w:sz w:val="26"/>
          <w:szCs w:val="26"/>
        </w:rPr>
        <w:t xml:space="preserve">2.1 Kernel Components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Domain Seed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Bootstrap artifact created by the platform operator at agent type creation. Contains: agent name, goal statement, task boundary definition, initial topic list. The topic list becomes the root nodes of the domain graph. The kernel cannot ask questions outside the declared boundary.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Knowledge Gap Detector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Queries the domain graph after every answer write to identify the highest-priority unexplored areas. Looks for three signal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Orphan nodes — concepts present in the graph but with no edges connecting them to other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Low-confidence edges — relationships that exist but were inferred weakly (confidence &lt;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Unexplored branches — topics on the seed list with zero or insufficient graph coverage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Gaps are ranked by severity × breadth. A gap that blocks many downstream concepts is prioritized over an isolated one.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Socratic Question Generator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Takes the ranked gap list and generates a single focused question per turn. Enforces deduplication — never asks what the graph already knows with high confidence, even if phrased differently. One question per turn is deliberate: focused questions yield cleaner, more parseable answers.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Answer Processor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Parses expert answers and extracts structured knowledge. Three responsibilities: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Entity and relation extraction — identifies concepts and relationships to write to the 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Contradiction detection — checks extracted knowledge against existing graph; pauses write and surfaces conflict to expert if 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Ambiguity detection — generates an immediate follow-up question rather than accepting noisy input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Graph Writer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Commits validated knowledge to the domain graph. Every write includes a confidence score derived from answer clarity and consistency. Directly stated facts receive high confidence; inferred relationships receive lower confidence. Confidence values feed back into the gap detector on the next iteration.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Readiness Scorer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Computes the readiness score as a composite of graph metrics. The proposal confidence threshold uses the same formula at a lower trigger value:</w:t>
      </w:r>
    </w:p>
    <w:p>
      <w:pPr>
        <w:shd w:fill="F5F5F5" w:val="clear"/>
        <w:spacing w:after="100" w:before="100"/>
        <w:ind w:left="72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readiness_score = (0.4 × node_coverage) + (0.35 × edge_density) + (0.25 × confidence_mean)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Proposal threshold: ~0.55 (configurable per domain complexity tier). Cert 1 threshold: ~0.80. The gap between these thresholds is the simulation window.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449A"/>
          <w:sz w:val="32"/>
          <w:szCs w:val="32"/>
        </w:rPr>
        <w:t xml:space="preserve">3. Multi-Agent Workflow Architecture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Some domains require a single agent; others require coordinated teams. The framework supports three workflow topologies, declared at seed time. Topology is immutable without triggering re-certification.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49A"/>
          <w:sz w:val="26"/>
          <w:szCs w:val="26"/>
        </w:rPr>
        <w:t xml:space="preserve">3.1 Topology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Topology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Governance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A → Agent B → Agent C (sequential handoff)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Each agent independently phased; weakest link governs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Linear, sequential domain processes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Orchestrated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Orchestrator delegates to N worker 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Orchestrator’s phase governs the workflow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Complex domains with specialist subtasks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Agents negotiate and divide work via shared context bus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Explicit coordinator role required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Parallel, highly interdependent tasks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49A"/>
          <w:sz w:val="26"/>
          <w:szCs w:val="26"/>
        </w:rPr>
        <w:t xml:space="preserve">3.2 Phase Governance Rule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orchestrated topologies: the orchestrator’s phase IS the workflow’s phase. A work-phase orchestrator calling a journeyman worker elevates that interaction to journeyman-level supervision requirements. Workers can graduate independently and be reused across multiple workflows; the workflow itself is only certified when the orchestrator graduates.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7A5F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Safety rule: A work-phase orchestrator with uncertified workers is not a work-phase workflow. The orchestrator’s cert status certifies only its own role, not the team composition.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49A"/>
          <w:sz w:val="26"/>
          <w:szCs w:val="26"/>
        </w:rPr>
        <w:t xml:space="preserve">3.3 Dual-Namespace Knowledge Graph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Every agent participating in a multi-agent workflow has two namespaces in its domain graph: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Task namespace — domain concepts, procedures, constraints, edge cases. What does this agent know about its domain?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Coordination namespace — agent contracts (input/output schema), handoff logic (when, to whom, under what conditions), validation checkpoints (what to assert before handing off). How does this agent fit into the workflow?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gap detector runs across both namespaces independently. The readiness scorer requires both to reach threshold before surfacing a Cert 1 recommendation.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49A"/>
          <w:sz w:val="26"/>
          <w:szCs w:val="26"/>
        </w:rPr>
        <w:t xml:space="preserve">3.4 Multi-Agent Runtime 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Context bus — scoped per workflow instance (Redis Streams). Agents in one workflow instance cannot read context from concurrent instances.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Failure isolation — worker failure does not cascade to workflow failure. Orchestrator owns failure handling and escalation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Escalation ownership — workers escalate upward within the workflow to the orchestrator. Only the orchestrator escalates to a human.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Action manifest — declared at certification time, enforced at runtime. An agent cannot perform actions outside its manifest regardless of LLM output.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449A"/>
          <w:sz w:val="32"/>
          <w:szCs w:val="32"/>
        </w:rPr>
        <w:t xml:space="preserve">4. Simulation Engine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simulation engine enables agents to learn coordination knowledge during the apprentice phase. The domain expert role-plays all other agents in the team while the learning agent observes, acts, and writes to the coordination namespace.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49A"/>
          <w:sz w:val="26"/>
          <w:szCs w:val="26"/>
        </w:rPr>
        <w:t xml:space="preserve">4.1 Simulation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Q&amp;A accumulation — gap detector builds domain graph until proposal scorer crosses threshold (~0.55)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LLM team proposal — team structure reasoner clusters graph into candidate agents, identifies handoff points, produces proposal artifact with rationale per decision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Expert review — expert approves, edits, or rejects proposal; rejection feeds back to team structure reasoner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Simulation runs — expert role-plays all other agents in simulation console; learning agent observes and writes to coordination namespace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Readiness assessment — readiness scorer evaluates both namespaces; expert clicks approve at Cert 1 gate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49A"/>
          <w:sz w:val="26"/>
          <w:szCs w:val="26"/>
        </w:rPr>
        <w:t xml:space="preserve">4.2 Simulation Console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Three-panel interface: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Left panel — role selector with active role indicator and current agent’s contract (accepted inputs, emitted outputs, prohibited data) visible at all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Centre panel — conversation thread with inline violation banners (non-blocking; expert can finish reading before acting)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Right panel — live run recorder tagging observations as Violation / Learned / Ambiguous in real time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Contract violations pause the learning agent and surface a banner. Two resolution paths: clarify contract (triggers graph update) or mark as known edge case (logged but not written as constraint).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49A"/>
          <w:sz w:val="26"/>
          <w:szCs w:val="26"/>
        </w:rPr>
        <w:t xml:space="preserve">4.3 Team Composition Versioning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approved, a team composition artifact is immutable. It contains: agent list, topology type, contracts, simulation run history, expert signature, and timestamp. Changes to an approved composition trigger scoped re-certification: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Re-cert 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Structural (add/remove agent)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agents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agent’s coordination namespace references who it works with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 (edit handoff field/condition)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Affected boundary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Two agents at boundary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Contract is a bilateral agreement; only the signatories re-learn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Topology (pipeline ↔ orchestrated)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agents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Rewrites every agent’s understanding of its role in the team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449A"/>
          <w:sz w:val="32"/>
          <w:szCs w:val="32"/>
        </w:rPr>
        <w:t xml:space="preserve">5. Technology Stack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components use Apache 2.0, MIT, or PostgreSQL licenses. No vendor lock-in at any layer. Every component can be self-hosted or replaced with a managed equivalent independently.</w:t>
      </w:r>
    </w:p>
    <w:p>
      <w:pPr>
        <w:shd w:fill="EEF1FA" w:val="clear"/>
        <w:spacing w:after="100" w:before="200"/>
        <w:ind w:left="160" w:right="160"/>
      </w:pPr>
      <w:r>
        <w:rPr>
          <w:rFonts w:ascii="Arial" w:cs="Arial" w:eastAsia="Arial" w:hAnsi="Arial"/>
          <w:b/>
          <w:bCs/>
          <w:color w:val="2B449A"/>
          <w:sz w:val="18"/>
          <w:szCs w:val="18"/>
        </w:rPr>
        <w:t xml:space="preserve">DURABILITY + WORKFLOW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00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Outer durability wrapper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Crash recovery, retry policies, long-running workflow state across sessions. Financial-grade heritage. Raised $300M at $5B in Feb 2026.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logic + workflow topology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LangGraph 1.0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Models all three topology types natively. HITL pause/resume for cert gates. Native streaming + LangSmith observability. Core being rebuilt in Go.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LangGraph checkpointer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AsyncPostgresSaver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Skip SQLite — its write lock is database-level, hard ceiling at ~100 concurrent agents. Async Postgres scales with connection pooling.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Built-in</w:t>
            </w:r>
          </w:p>
        </w:tc>
      </w:tr>
    </w:tbl>
    <w:p>
      <w:pPr>
        <w:spacing w:after="0" w:before="160"/>
      </w:pPr>
    </w:p>
    <w:p>
      <w:pPr>
        <w:shd w:fill="EEF1FA" w:val="clear"/>
        <w:spacing w:after="100" w:before="200"/>
        <w:ind w:left="160" w:right="160"/>
      </w:pPr>
      <w:r>
        <w:rPr>
          <w:rFonts w:ascii="Arial" w:cs="Arial" w:eastAsia="Arial" w:hAnsi="Arial"/>
          <w:b/>
          <w:bCs/>
          <w:color w:val="2B449A"/>
          <w:sz w:val="18"/>
          <w:szCs w:val="18"/>
        </w:rPr>
        <w:t xml:space="preserve">KNOWLEDGE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00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Domain 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Kuzu (Vela fork)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374x faster than Neo4j on multi-hop path queries (9ms vs 3.2s). Zero infrastructure. openCypher. Vela fork adds concurrent multi-writer support.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Certified KB (semantic retrieval)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Qdrant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Rust-based — 10–25% faster than alternatives. Filtered HNSW (not post-search filter) — complex metadata filters without recall degradation.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Delta quarantine + promotion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Versioned rows with ACID guarantees. PR-like promotion workflow with full audit trail.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</w:tr>
    </w:tbl>
    <w:p>
      <w:pPr>
        <w:spacing w:after="0" w:before="160"/>
      </w:pPr>
    </w:p>
    <w:p>
      <w:pPr>
        <w:shd w:fill="EEF1FA" w:val="clear"/>
        <w:spacing w:after="100" w:before="200"/>
        <w:ind w:left="160" w:right="160"/>
      </w:pPr>
      <w:r>
        <w:rPr>
          <w:rFonts w:ascii="Arial" w:cs="Arial" w:eastAsia="Arial" w:hAnsi="Arial"/>
          <w:b/>
          <w:bCs/>
          <w:color w:val="2B449A"/>
          <w:sz w:val="18"/>
          <w:szCs w:val="18"/>
        </w:rPr>
        <w:t xml:space="preserve">OPERATIONAL STATE +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00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KV store (phase, score, learning rate)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Sub-millisecond reads on every agent turn. Also serves as vector cache layer (RediSearch) for hot certified KB queries.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BSD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 bus (per-workflow scope)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 Streams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 pub/sub with message ordering. One stream per workflow instance, auto-expired on close.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BSD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 task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Celery + Redis broker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Drift monitoring and delta promotion are background tasks. Same Redis instance keeps stack minimal.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BSD 3</w:t>
            </w:r>
          </w:p>
        </w:tc>
      </w:tr>
    </w:tbl>
    <w:p>
      <w:pPr>
        <w:spacing w:after="0" w:before="160"/>
      </w:pPr>
    </w:p>
    <w:p>
      <w:pPr>
        <w:shd w:fill="EEF1FA" w:val="clear"/>
        <w:spacing w:after="100" w:before="200"/>
        <w:ind w:left="160" w:right="160"/>
      </w:pPr>
      <w:r>
        <w:rPr>
          <w:rFonts w:ascii="Arial" w:cs="Arial" w:eastAsia="Arial" w:hAnsi="Arial"/>
          <w:b/>
          <w:bCs/>
          <w:color w:val="2B449A"/>
          <w:sz w:val="18"/>
          <w:szCs w:val="18"/>
        </w:rPr>
        <w:t xml:space="preserve">API, SERVING +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00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runtime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+ asyncio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LangGraph requires async. Auto-generates OpenAPI spec. Pydantic validation end-to-end type safety.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Simulation console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Real-time violation banners via WebSocket/SSE. Narrow, well-defined UI scope.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tracing +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LangSmith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Token usage, cost, latency auto-captured per trace, thread, subagent. Zero config with LangGraph.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SaaS/self-host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Infrastructure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Temporal, Redis, Postgres, Qdrant all expose Prometheus metrics natively.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2.0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A0E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E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Non-negotiable production rules: (1) Never SQLite in LangGraph — AsyncPostgresSaver from day one. (2) One Kuzu instance per agent TYPE, not per instance. (3) Every supervisor loop needs a circuit breaker with max revision limit. (4) Every LangGraph state must be Pydantic-validated with Literal types for routing.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B449A"/>
          <w:sz w:val="32"/>
          <w:szCs w:val="32"/>
        </w:rPr>
        <w:t xml:space="preserve">6. Production Safety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49A"/>
          <w:sz w:val="26"/>
          <w:szCs w:val="26"/>
        </w:rPr>
        <w:t xml:space="preserve">6.1 Threat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44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learns wrong information, corrupts others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Shared certified KB contamination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Write-once certified KB + delta quarantine. No work-phase agent writes directly to certified KB.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Rogue agent takes harmful real-world 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 exceeds declared capability boundary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Action manifest declared at cert time, enforced at runtime. Agent cannot act outside manifest.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Knowledge drift over time in work 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Gradual divergence from certified baseline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Drift monitor diffs runtime behavior against certified KB baseline. Alert when divergence exceeds threshold.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Cascading failure when one agent type breaks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Failure propagates across dependent workflows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Circuit breaker isolates failing agent type. Worker failure isolated from workflow failure by orchestrator.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49A"/>
          <w:sz w:val="26"/>
          <w:szCs w:val="26"/>
        </w:rPr>
        <w:t xml:space="preserve">6.2 Knowledge Immutability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Certified KB is write-once and versioned. A new version is created on every promotion; old versions are never modified.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delta quarantine store is the only writable surface for work-phase agents. Writes are tagged with agent instance ID, timestamp, and triggering task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Promotion from delta quarantine to certified KB requires explicit review (human or automated validation pipeline depending on org policy).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Team composition artifacts are immutably signed on expert approval. Changes create a new version; the signed artifact is an audit record.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449A"/>
          <w:sz w:val="26"/>
          <w:szCs w:val="26"/>
        </w:rPr>
        <w:t xml:space="preserve">6.3 Escalation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Work-phase agents: refuse out-of-scope tasks and escalate to orchestrator or human (never attempt and log).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Workers in orchestrated workflows: escalate to orchestrator only, never directly to humans.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Orchestrators: escalate to human when all workers have refused or when task falls outside the workflow’s declared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Escalation events are first-class observability events — logged, traced, and counted toward drift metrics.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449A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 —  v1.0</w:t>
    </w:r>
    <w:r>
      <w:rPr>
        <w:rFonts w:ascii="Arial" w:cs="Arial" w:eastAsia="Arial" w:hAnsi="Arial"/>
        <w:color w:val="888888"/>
        <w:sz w:val="16"/>
        <w:szCs w:val="16"/>
      </w:rPr>
      <w:t xml:space="preserve">	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449A" w:sz="4" w:space="1"/>
      </w:pBdr>
    </w:pPr>
    <w:r>
      <w:rPr>
        <w:rFonts w:ascii="Arial" w:cs="Arial" w:eastAsia="Arial" w:hAnsi="Arial"/>
        <w:b/>
        <w:bCs/>
        <w:color w:val="2B449A"/>
        <w:sz w:val="18"/>
        <w:szCs w:val="18"/>
      </w:rPr>
      <w:t xml:space="preserve">Agent Lifecycle Framework  </w:t>
    </w:r>
    <w:r>
      <w:rPr>
        <w:rFonts w:ascii="Arial" w:cs="Arial" w:eastAsia="Arial" w:hAnsi="Arial"/>
        <w:color w:val="666666"/>
        <w:sz w:val="18"/>
        <w:szCs w:val="18"/>
      </w:rPr>
      <w:t xml:space="preserve">Architecture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B44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44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2026-06-11T11:40:34.861Z</dcterms:created>
  <dcterms:modified xsi:type="dcterms:W3CDTF">2026-06-11T11:40:34.861Z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