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left w:w="0" w:type="dxa"/>
          <w:right w:w="0" w:type="dxa"/>
        </w:tblCellMar>
        <w:tblLook w:val="04A0" w:firstRow="1" w:lastRow="0" w:firstColumn="1" w:lastColumn="0" w:noHBand="0" w:noVBand="1"/>
      </w:tblPr>
      <w:tblGrid>
        <w:gridCol w:w="535"/>
        <w:gridCol w:w="434"/>
        <w:gridCol w:w="520"/>
        <w:gridCol w:w="521"/>
        <w:gridCol w:w="521"/>
        <w:gridCol w:w="521"/>
        <w:gridCol w:w="61"/>
        <w:gridCol w:w="944"/>
        <w:gridCol w:w="1146"/>
        <w:gridCol w:w="944"/>
        <w:gridCol w:w="537"/>
        <w:gridCol w:w="522"/>
        <w:gridCol w:w="2317"/>
        <w:gridCol w:w="45"/>
      </w:tblGrid>
      <w:tr w:rsidR="002A18E7" w:rsidRPr="002A18E7" w:rsidTr="002A18E7">
        <w:trPr>
          <w:gridAfter w:val="1"/>
          <w:tblCellSpacing w:w="15" w:type="dxa"/>
        </w:trPr>
        <w:tc>
          <w:tcPr>
            <w:tcW w:w="298" w:type="dxa"/>
            <w:tcBorders>
              <w:top w:val="nil"/>
              <w:left w:val="nil"/>
              <w:bottom w:val="nil"/>
              <w:right w:val="nil"/>
            </w:tcBorders>
            <w:hideMark/>
          </w:tcPr>
          <w:p w:rsidR="002A18E7" w:rsidRPr="002A18E7" w:rsidRDefault="002A18E7" w:rsidP="002A18E7">
            <w:pPr>
              <w:spacing w:after="0" w:line="240" w:lineRule="auto"/>
              <w:jc w:val="center"/>
              <w:rPr>
                <w:rFonts w:ascii="Arial" w:eastAsia="Times New Roman" w:hAnsi="Arial" w:cs="Arial"/>
                <w:sz w:val="11"/>
                <w:szCs w:val="11"/>
              </w:rPr>
            </w:pPr>
            <w:bookmarkStart w:id="0" w:name="_GoBack"/>
            <w:bookmarkEnd w:id="0"/>
            <w:r>
              <w:rPr>
                <w:rFonts w:ascii="Arial" w:eastAsia="Times New Roman" w:hAnsi="Arial" w:cs="Arial"/>
                <w:noProof/>
                <w:color w:val="0000FF"/>
                <w:sz w:val="11"/>
                <w:szCs w:val="11"/>
              </w:rPr>
              <w:drawing>
                <wp:inline distT="0" distB="0" distL="0" distR="0">
                  <wp:extent cx="279400" cy="142240"/>
                  <wp:effectExtent l="19050" t="0" r="6350" b="0"/>
                  <wp:docPr id="1" name="Billede 1" descr="Print denne artik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denne artikel">
                            <a:hlinkClick r:id="rId5"/>
                          </pic:cNvPr>
                          <pic:cNvPicPr>
                            <a:picLocks noChangeAspect="1" noChangeArrowheads="1"/>
                          </pic:cNvPicPr>
                        </pic:nvPicPr>
                        <pic:blipFill>
                          <a:blip r:embed="rId6"/>
                          <a:srcRect/>
                          <a:stretch>
                            <a:fillRect/>
                          </a:stretch>
                        </pic:blipFill>
                        <pic:spPr bwMode="auto">
                          <a:xfrm>
                            <a:off x="0" y="0"/>
                            <a:ext cx="279400" cy="142240"/>
                          </a:xfrm>
                          <a:prstGeom prst="rect">
                            <a:avLst/>
                          </a:prstGeom>
                          <a:noFill/>
                          <a:ln w="9525">
                            <a:noFill/>
                            <a:miter lim="800000"/>
                            <a:headEnd/>
                            <a:tailEnd/>
                          </a:ln>
                        </pic:spPr>
                      </pic:pic>
                    </a:graphicData>
                  </a:graphic>
                </wp:inline>
              </w:drawing>
            </w:r>
          </w:p>
        </w:tc>
        <w:tc>
          <w:tcPr>
            <w:tcW w:w="397" w:type="dxa"/>
            <w:tcBorders>
              <w:top w:val="nil"/>
              <w:left w:val="nil"/>
              <w:bottom w:val="nil"/>
              <w:right w:val="nil"/>
            </w:tcBorders>
            <w:hideMark/>
          </w:tcPr>
          <w:p w:rsidR="002A18E7" w:rsidRPr="002A18E7" w:rsidRDefault="002A18E7" w:rsidP="002A18E7">
            <w:pPr>
              <w:spacing w:after="0" w:line="240" w:lineRule="auto"/>
              <w:rPr>
                <w:rFonts w:ascii="Arial" w:eastAsia="Times New Roman" w:hAnsi="Arial" w:cs="Arial"/>
                <w:sz w:val="11"/>
                <w:szCs w:val="11"/>
              </w:rPr>
            </w:pPr>
          </w:p>
        </w:tc>
        <w:tc>
          <w:tcPr>
            <w:tcW w:w="298" w:type="dxa"/>
            <w:tcBorders>
              <w:top w:val="nil"/>
              <w:left w:val="nil"/>
              <w:bottom w:val="nil"/>
              <w:right w:val="nil"/>
            </w:tcBorders>
            <w:tcMar>
              <w:top w:w="10" w:type="dxa"/>
              <w:left w:w="0" w:type="dxa"/>
              <w:bottom w:w="0" w:type="dxa"/>
              <w:right w:w="0" w:type="dxa"/>
            </w:tcMar>
            <w:hideMark/>
          </w:tcPr>
          <w:p w:rsidR="002A18E7" w:rsidRPr="002A18E7" w:rsidRDefault="002A18E7" w:rsidP="002A18E7">
            <w:pPr>
              <w:spacing w:after="0" w:line="240" w:lineRule="auto"/>
              <w:jc w:val="center"/>
              <w:rPr>
                <w:rFonts w:ascii="Arial" w:eastAsia="Times New Roman" w:hAnsi="Arial" w:cs="Arial"/>
                <w:sz w:val="11"/>
                <w:szCs w:val="11"/>
              </w:rPr>
            </w:pPr>
            <w:r>
              <w:rPr>
                <w:rFonts w:ascii="Arial" w:eastAsia="Times New Roman" w:hAnsi="Arial" w:cs="Arial"/>
                <w:noProof/>
                <w:sz w:val="11"/>
                <w:szCs w:val="11"/>
              </w:rPr>
              <w:drawing>
                <wp:inline distT="0" distB="0" distL="0" distR="0">
                  <wp:extent cx="279400" cy="142240"/>
                  <wp:effectExtent l="19050" t="0" r="6350" b="0"/>
                  <wp:docPr id="2" name="Billede 2" descr="Håndtér fremhævning af tek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åndtér fremhævning af tekst"/>
                          <pic:cNvPicPr>
                            <a:picLocks noChangeAspect="1" noChangeArrowheads="1"/>
                          </pic:cNvPicPr>
                        </pic:nvPicPr>
                        <pic:blipFill>
                          <a:blip r:embed="rId7"/>
                          <a:srcRect/>
                          <a:stretch>
                            <a:fillRect/>
                          </a:stretch>
                        </pic:blipFill>
                        <pic:spPr bwMode="auto">
                          <a:xfrm>
                            <a:off x="0" y="0"/>
                            <a:ext cx="279400" cy="142240"/>
                          </a:xfrm>
                          <a:prstGeom prst="rect">
                            <a:avLst/>
                          </a:prstGeom>
                          <a:noFill/>
                          <a:ln w="9525">
                            <a:noFill/>
                            <a:miter lim="800000"/>
                            <a:headEnd/>
                            <a:tailEnd/>
                          </a:ln>
                        </pic:spPr>
                      </pic:pic>
                    </a:graphicData>
                  </a:graphic>
                </wp:inline>
              </w:drawing>
            </w:r>
          </w:p>
        </w:tc>
        <w:tc>
          <w:tcPr>
            <w:tcW w:w="298" w:type="dxa"/>
            <w:tcBorders>
              <w:top w:val="nil"/>
              <w:left w:val="nil"/>
              <w:bottom w:val="nil"/>
              <w:right w:val="nil"/>
            </w:tcBorders>
            <w:hideMark/>
          </w:tcPr>
          <w:p w:rsidR="002A18E7" w:rsidRPr="002A18E7" w:rsidRDefault="002A18E7" w:rsidP="002A18E7">
            <w:pPr>
              <w:spacing w:after="0" w:line="240" w:lineRule="auto"/>
              <w:jc w:val="center"/>
              <w:rPr>
                <w:rFonts w:ascii="Arial" w:eastAsia="Times New Roman" w:hAnsi="Arial" w:cs="Arial"/>
                <w:sz w:val="11"/>
                <w:szCs w:val="11"/>
              </w:rPr>
            </w:pPr>
            <w:r>
              <w:rPr>
                <w:rFonts w:ascii="Arial" w:eastAsia="Times New Roman" w:hAnsi="Arial" w:cs="Arial"/>
                <w:noProof/>
                <w:color w:val="0000FF"/>
                <w:sz w:val="11"/>
                <w:szCs w:val="11"/>
              </w:rPr>
              <w:drawing>
                <wp:inline distT="0" distB="0" distL="0" distR="0">
                  <wp:extent cx="279400" cy="142240"/>
                  <wp:effectExtent l="19050" t="0" r="6350" b="0"/>
                  <wp:docPr id="3" name="Billede 3" descr="Mindre skriftstørrel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dre skriftstørrelse">
                            <a:hlinkClick r:id="rId8"/>
                          </pic:cNvPr>
                          <pic:cNvPicPr>
                            <a:picLocks noChangeAspect="1" noChangeArrowheads="1"/>
                          </pic:cNvPicPr>
                        </pic:nvPicPr>
                        <pic:blipFill>
                          <a:blip r:embed="rId9"/>
                          <a:srcRect/>
                          <a:stretch>
                            <a:fillRect/>
                          </a:stretch>
                        </pic:blipFill>
                        <pic:spPr bwMode="auto">
                          <a:xfrm>
                            <a:off x="0" y="0"/>
                            <a:ext cx="279400" cy="142240"/>
                          </a:xfrm>
                          <a:prstGeom prst="rect">
                            <a:avLst/>
                          </a:prstGeom>
                          <a:noFill/>
                          <a:ln w="9525">
                            <a:noFill/>
                            <a:miter lim="800000"/>
                            <a:headEnd/>
                            <a:tailEnd/>
                          </a:ln>
                        </pic:spPr>
                      </pic:pic>
                    </a:graphicData>
                  </a:graphic>
                </wp:inline>
              </w:drawing>
            </w:r>
          </w:p>
        </w:tc>
        <w:tc>
          <w:tcPr>
            <w:tcW w:w="298" w:type="dxa"/>
            <w:tcBorders>
              <w:top w:val="nil"/>
              <w:left w:val="nil"/>
              <w:bottom w:val="nil"/>
              <w:right w:val="nil"/>
            </w:tcBorders>
            <w:hideMark/>
          </w:tcPr>
          <w:p w:rsidR="002A18E7" w:rsidRPr="002A18E7" w:rsidRDefault="002A18E7" w:rsidP="002A18E7">
            <w:pPr>
              <w:spacing w:after="0" w:line="240" w:lineRule="auto"/>
              <w:jc w:val="center"/>
              <w:rPr>
                <w:rFonts w:ascii="Arial" w:eastAsia="Times New Roman" w:hAnsi="Arial" w:cs="Arial"/>
                <w:sz w:val="11"/>
                <w:szCs w:val="11"/>
              </w:rPr>
            </w:pPr>
            <w:r>
              <w:rPr>
                <w:rFonts w:ascii="Arial" w:eastAsia="Times New Roman" w:hAnsi="Arial" w:cs="Arial"/>
                <w:noProof/>
                <w:color w:val="0000FF"/>
                <w:sz w:val="11"/>
                <w:szCs w:val="11"/>
              </w:rPr>
              <w:drawing>
                <wp:inline distT="0" distB="0" distL="0" distR="0">
                  <wp:extent cx="279400" cy="142240"/>
                  <wp:effectExtent l="19050" t="0" r="6350" b="0"/>
                  <wp:docPr id="4" name="Billede 4" descr="Større skriftstørrel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ørre skriftstørrelse">
                            <a:hlinkClick r:id="rId10"/>
                          </pic:cNvPr>
                          <pic:cNvPicPr>
                            <a:picLocks noChangeAspect="1" noChangeArrowheads="1"/>
                          </pic:cNvPicPr>
                        </pic:nvPicPr>
                        <pic:blipFill>
                          <a:blip r:embed="rId11"/>
                          <a:srcRect/>
                          <a:stretch>
                            <a:fillRect/>
                          </a:stretch>
                        </pic:blipFill>
                        <pic:spPr bwMode="auto">
                          <a:xfrm>
                            <a:off x="0" y="0"/>
                            <a:ext cx="279400" cy="142240"/>
                          </a:xfrm>
                          <a:prstGeom prst="rect">
                            <a:avLst/>
                          </a:prstGeom>
                          <a:noFill/>
                          <a:ln w="9525">
                            <a:noFill/>
                            <a:miter lim="800000"/>
                            <a:headEnd/>
                            <a:tailEnd/>
                          </a:ln>
                        </pic:spPr>
                      </pic:pic>
                    </a:graphicData>
                  </a:graphic>
                </wp:inline>
              </w:drawing>
            </w:r>
          </w:p>
        </w:tc>
        <w:tc>
          <w:tcPr>
            <w:tcW w:w="298" w:type="dxa"/>
            <w:tcBorders>
              <w:top w:val="nil"/>
              <w:left w:val="nil"/>
              <w:bottom w:val="nil"/>
              <w:right w:val="nil"/>
            </w:tcBorders>
            <w:hideMark/>
          </w:tcPr>
          <w:p w:rsidR="002A18E7" w:rsidRPr="002A18E7" w:rsidRDefault="002A18E7" w:rsidP="002A18E7">
            <w:pPr>
              <w:spacing w:after="0" w:line="240" w:lineRule="auto"/>
              <w:jc w:val="center"/>
              <w:rPr>
                <w:rFonts w:ascii="Arial" w:eastAsia="Times New Roman" w:hAnsi="Arial" w:cs="Arial"/>
                <w:sz w:val="11"/>
                <w:szCs w:val="11"/>
              </w:rPr>
            </w:pPr>
            <w:r>
              <w:rPr>
                <w:rFonts w:ascii="Arial" w:eastAsia="Times New Roman" w:hAnsi="Arial" w:cs="Arial"/>
                <w:noProof/>
                <w:color w:val="0000FF"/>
                <w:sz w:val="11"/>
                <w:szCs w:val="11"/>
              </w:rPr>
              <w:drawing>
                <wp:inline distT="0" distB="0" distL="0" distR="0">
                  <wp:extent cx="279400" cy="142240"/>
                  <wp:effectExtent l="19050" t="0" r="6350" b="0"/>
                  <wp:docPr id="5" name="Billede 5" descr="Reset størrel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et størrelse">
                            <a:hlinkClick r:id="rId12"/>
                          </pic:cNvPr>
                          <pic:cNvPicPr>
                            <a:picLocks noChangeAspect="1" noChangeArrowheads="1"/>
                          </pic:cNvPicPr>
                        </pic:nvPicPr>
                        <pic:blipFill>
                          <a:blip r:embed="rId13"/>
                          <a:srcRect/>
                          <a:stretch>
                            <a:fillRect/>
                          </a:stretch>
                        </pic:blipFill>
                        <pic:spPr bwMode="auto">
                          <a:xfrm>
                            <a:off x="0" y="0"/>
                            <a:ext cx="279400" cy="14224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hideMark/>
          </w:tcPr>
          <w:p w:rsidR="002A18E7" w:rsidRPr="002A18E7" w:rsidRDefault="002A18E7" w:rsidP="002A18E7">
            <w:pPr>
              <w:spacing w:after="0" w:line="240" w:lineRule="auto"/>
              <w:jc w:val="center"/>
              <w:rPr>
                <w:rFonts w:ascii="Arial" w:eastAsia="Times New Roman" w:hAnsi="Arial" w:cs="Arial"/>
                <w:sz w:val="11"/>
                <w:szCs w:val="11"/>
              </w:rPr>
            </w:pPr>
            <w:r w:rsidRPr="002A18E7">
              <w:rPr>
                <w:rFonts w:ascii="Arial" w:eastAsia="Times New Roman" w:hAnsi="Arial" w:cs="Arial"/>
                <w:sz w:val="11"/>
                <w:szCs w:val="11"/>
              </w:rPr>
              <w:t> </w:t>
            </w:r>
          </w:p>
        </w:tc>
        <w:tc>
          <w:tcPr>
            <w:tcW w:w="894" w:type="dxa"/>
            <w:tcBorders>
              <w:top w:val="nil"/>
              <w:left w:val="nil"/>
              <w:bottom w:val="nil"/>
              <w:right w:val="nil"/>
            </w:tcBorders>
            <w:hideMark/>
          </w:tcPr>
          <w:p w:rsidR="002A18E7" w:rsidRPr="002A18E7" w:rsidRDefault="002A18E7" w:rsidP="002A18E7">
            <w:pPr>
              <w:spacing w:after="0" w:line="240" w:lineRule="auto"/>
              <w:jc w:val="right"/>
              <w:rPr>
                <w:rFonts w:ascii="Arial" w:eastAsia="Times New Roman" w:hAnsi="Arial" w:cs="Arial"/>
                <w:sz w:val="11"/>
                <w:szCs w:val="11"/>
              </w:rPr>
            </w:pPr>
          </w:p>
        </w:tc>
        <w:tc>
          <w:tcPr>
            <w:tcW w:w="1092" w:type="dxa"/>
            <w:tcBorders>
              <w:top w:val="nil"/>
              <w:left w:val="nil"/>
              <w:bottom w:val="nil"/>
              <w:right w:val="nil"/>
            </w:tcBorders>
            <w:noWrap/>
            <w:hideMark/>
          </w:tcPr>
          <w:p w:rsidR="002A18E7" w:rsidRPr="002A18E7" w:rsidRDefault="002A18E7" w:rsidP="002A18E7">
            <w:pPr>
              <w:spacing w:after="0" w:line="240" w:lineRule="auto"/>
              <w:jc w:val="center"/>
              <w:rPr>
                <w:rFonts w:ascii="Arial" w:eastAsia="Times New Roman" w:hAnsi="Arial" w:cs="Arial"/>
                <w:sz w:val="11"/>
                <w:szCs w:val="11"/>
              </w:rPr>
            </w:pPr>
          </w:p>
        </w:tc>
        <w:tc>
          <w:tcPr>
            <w:tcW w:w="894" w:type="dxa"/>
            <w:tcBorders>
              <w:top w:val="nil"/>
              <w:left w:val="nil"/>
              <w:bottom w:val="nil"/>
              <w:right w:val="nil"/>
            </w:tcBorders>
            <w:hideMark/>
          </w:tcPr>
          <w:p w:rsidR="002A18E7" w:rsidRPr="002A18E7" w:rsidRDefault="002A18E7" w:rsidP="002A18E7">
            <w:pPr>
              <w:spacing w:after="0" w:line="240" w:lineRule="auto"/>
              <w:jc w:val="center"/>
              <w:rPr>
                <w:rFonts w:ascii="Arial" w:eastAsia="Times New Roman" w:hAnsi="Arial" w:cs="Arial"/>
                <w:sz w:val="11"/>
                <w:szCs w:val="11"/>
              </w:rPr>
            </w:pPr>
          </w:p>
        </w:tc>
        <w:tc>
          <w:tcPr>
            <w:tcW w:w="497" w:type="dxa"/>
            <w:tcBorders>
              <w:top w:val="nil"/>
              <w:left w:val="nil"/>
              <w:bottom w:val="nil"/>
              <w:right w:val="nil"/>
            </w:tcBorders>
            <w:hideMark/>
          </w:tcPr>
          <w:p w:rsidR="002A18E7" w:rsidRPr="002A18E7" w:rsidRDefault="002A18E7" w:rsidP="002A18E7">
            <w:pPr>
              <w:spacing w:after="0" w:line="240" w:lineRule="auto"/>
              <w:jc w:val="center"/>
              <w:rPr>
                <w:rFonts w:ascii="Arial" w:eastAsia="Times New Roman" w:hAnsi="Arial" w:cs="Arial"/>
                <w:sz w:val="11"/>
                <w:szCs w:val="11"/>
              </w:rPr>
            </w:pPr>
          </w:p>
        </w:tc>
        <w:tc>
          <w:tcPr>
            <w:tcW w:w="993" w:type="dxa"/>
            <w:gridSpan w:val="2"/>
            <w:tcBorders>
              <w:top w:val="nil"/>
              <w:left w:val="nil"/>
              <w:bottom w:val="nil"/>
              <w:right w:val="nil"/>
            </w:tcBorders>
            <w:hideMark/>
          </w:tcPr>
          <w:p w:rsidR="002A18E7" w:rsidRPr="002A18E7" w:rsidRDefault="002A18E7" w:rsidP="002A18E7">
            <w:pPr>
              <w:spacing w:after="0" w:line="240" w:lineRule="auto"/>
              <w:jc w:val="center"/>
              <w:rPr>
                <w:rFonts w:ascii="Arial" w:eastAsia="Times New Roman" w:hAnsi="Arial" w:cs="Arial"/>
                <w:sz w:val="11"/>
                <w:szCs w:val="11"/>
              </w:rPr>
            </w:pPr>
          </w:p>
        </w:tc>
      </w:tr>
      <w:tr w:rsidR="002A18E7" w:rsidRPr="002A18E7" w:rsidTr="002A18E7">
        <w:trPr>
          <w:tblCellSpacing w:w="15" w:type="dxa"/>
        </w:trPr>
        <w:tc>
          <w:tcPr>
            <w:tcW w:w="3750" w:type="pct"/>
            <w:gridSpan w:val="12"/>
            <w:tcBorders>
              <w:top w:val="nil"/>
              <w:left w:val="nil"/>
              <w:bottom w:val="nil"/>
              <w:right w:val="nil"/>
            </w:tcBorders>
            <w:hideMark/>
          </w:tcPr>
          <w:p w:rsidR="002A18E7" w:rsidRPr="002A18E7" w:rsidRDefault="002A18E7" w:rsidP="002A18E7">
            <w:pPr>
              <w:spacing w:after="0" w:line="240" w:lineRule="auto"/>
              <w:rPr>
                <w:rFonts w:ascii="Arial" w:eastAsia="Times New Roman" w:hAnsi="Arial" w:cs="Arial"/>
                <w:sz w:val="11"/>
                <w:szCs w:val="11"/>
              </w:rPr>
            </w:pPr>
            <w:r>
              <w:rPr>
                <w:rFonts w:ascii="Arial" w:eastAsia="Times New Roman" w:hAnsi="Arial" w:cs="Arial"/>
                <w:noProof/>
                <w:sz w:val="11"/>
                <w:szCs w:val="11"/>
              </w:rPr>
              <w:drawing>
                <wp:inline distT="0" distB="0" distL="0" distR="0">
                  <wp:extent cx="1183640" cy="284480"/>
                  <wp:effectExtent l="19050" t="0" r="0" b="0"/>
                  <wp:docPr id="6" name="Billede 6" descr="http://www.infomedia.dk.ez-always.statsbiblioteket.dk:2048/infomediacommon/images/logo_PI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fomedia.dk.ez-always.statsbiblioteket.dk:2048/infomediacommon/images/logo_PIV.gif"/>
                          <pic:cNvPicPr>
                            <a:picLocks noChangeAspect="1" noChangeArrowheads="1"/>
                          </pic:cNvPicPr>
                        </pic:nvPicPr>
                        <pic:blipFill>
                          <a:blip r:embed="rId14"/>
                          <a:srcRect/>
                          <a:stretch>
                            <a:fillRect/>
                          </a:stretch>
                        </pic:blipFill>
                        <pic:spPr bwMode="auto">
                          <a:xfrm>
                            <a:off x="0" y="0"/>
                            <a:ext cx="1183640" cy="284480"/>
                          </a:xfrm>
                          <a:prstGeom prst="rect">
                            <a:avLst/>
                          </a:prstGeom>
                          <a:noFill/>
                          <a:ln w="9525">
                            <a:noFill/>
                            <a:miter lim="800000"/>
                            <a:headEnd/>
                            <a:tailEnd/>
                          </a:ln>
                        </pic:spPr>
                      </pic:pic>
                    </a:graphicData>
                  </a:graphic>
                </wp:inline>
              </w:drawing>
            </w:r>
          </w:p>
        </w:tc>
        <w:tc>
          <w:tcPr>
            <w:tcW w:w="0" w:type="auto"/>
            <w:gridSpan w:val="2"/>
            <w:tcBorders>
              <w:top w:val="nil"/>
              <w:left w:val="nil"/>
              <w:bottom w:val="nil"/>
              <w:right w:val="nil"/>
            </w:tcBorders>
            <w:hideMark/>
          </w:tcPr>
          <w:p w:rsidR="002A18E7" w:rsidRPr="002A18E7" w:rsidRDefault="002A18E7" w:rsidP="002A18E7">
            <w:pPr>
              <w:spacing w:after="0" w:line="240" w:lineRule="auto"/>
              <w:jc w:val="right"/>
              <w:rPr>
                <w:rFonts w:ascii="Arial" w:eastAsia="Times New Roman" w:hAnsi="Arial" w:cs="Arial"/>
                <w:sz w:val="11"/>
                <w:szCs w:val="11"/>
              </w:rPr>
            </w:pPr>
          </w:p>
        </w:tc>
      </w:tr>
    </w:tbl>
    <w:p w:rsidR="002A18E7" w:rsidRPr="002A18E7" w:rsidRDefault="002A18E7" w:rsidP="002A18E7">
      <w:pPr>
        <w:spacing w:after="0" w:line="240" w:lineRule="auto"/>
        <w:jc w:val="right"/>
        <w:rPr>
          <w:rFonts w:ascii="Arial" w:eastAsia="Times New Roman" w:hAnsi="Arial" w:cs="Arial"/>
          <w:color w:val="999999"/>
          <w:sz w:val="11"/>
          <w:szCs w:val="11"/>
        </w:rPr>
      </w:pPr>
      <w:r>
        <w:rPr>
          <w:rFonts w:ascii="Arial" w:eastAsia="Times New Roman" w:hAnsi="Arial" w:cs="Arial"/>
          <w:noProof/>
          <w:color w:val="999999"/>
          <w:sz w:val="11"/>
          <w:szCs w:val="11"/>
        </w:rPr>
        <w:drawing>
          <wp:inline distT="0" distB="0" distL="0" distR="0">
            <wp:extent cx="198120" cy="106680"/>
            <wp:effectExtent l="19050" t="0" r="0" b="0"/>
            <wp:docPr id="7" name="Billede 7" descr="http://www.infomedia.dk.ez-always.statsbiblioteket.dk:2048/infomediacommon/icons/mediatype/PI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fomedia.dk.ez-always.statsbiblioteket.dk:2048/infomediacommon/icons/mediatype/PIV.gif"/>
                    <pic:cNvPicPr>
                      <a:picLocks noChangeAspect="1" noChangeArrowheads="1"/>
                    </pic:cNvPicPr>
                  </pic:nvPicPr>
                  <pic:blipFill>
                    <a:blip r:embed="rId15"/>
                    <a:srcRect/>
                    <a:stretch>
                      <a:fillRect/>
                    </a:stretch>
                  </pic:blipFill>
                  <pic:spPr bwMode="auto">
                    <a:xfrm>
                      <a:off x="0" y="0"/>
                      <a:ext cx="198120" cy="106680"/>
                    </a:xfrm>
                    <a:prstGeom prst="rect">
                      <a:avLst/>
                    </a:prstGeom>
                    <a:noFill/>
                    <a:ln w="9525">
                      <a:noFill/>
                      <a:miter lim="800000"/>
                      <a:headEnd/>
                      <a:tailEnd/>
                    </a:ln>
                  </pic:spPr>
                </pic:pic>
              </a:graphicData>
            </a:graphic>
          </wp:inline>
        </w:drawing>
      </w:r>
      <w:r w:rsidRPr="002A18E7">
        <w:rPr>
          <w:rFonts w:ascii="Arial" w:eastAsia="Times New Roman" w:hAnsi="Arial" w:cs="Arial"/>
          <w:color w:val="999999"/>
          <w:sz w:val="11"/>
          <w:szCs w:val="11"/>
        </w:rPr>
        <w:t>Polinfo | 17.10.1994   | 3763 ord | artikel-id: A0213179</w:t>
      </w:r>
    </w:p>
    <w:p w:rsidR="002A18E7" w:rsidRPr="002A18E7" w:rsidRDefault="002A18E7" w:rsidP="002A18E7">
      <w:pPr>
        <w:spacing w:after="0" w:line="278" w:lineRule="atLeast"/>
        <w:outlineLvl w:val="0"/>
        <w:rPr>
          <w:rFonts w:ascii="Arial" w:eastAsia="Times New Roman" w:hAnsi="Arial" w:cs="Arial"/>
          <w:b/>
          <w:bCs/>
          <w:color w:val="336699"/>
          <w:kern w:val="36"/>
          <w:sz w:val="18"/>
          <w:szCs w:val="18"/>
        </w:rPr>
      </w:pPr>
      <w:r w:rsidRPr="002A18E7">
        <w:rPr>
          <w:rFonts w:ascii="Arial" w:eastAsia="Times New Roman" w:hAnsi="Arial" w:cs="Arial"/>
          <w:b/>
          <w:bCs/>
          <w:color w:val="336699"/>
          <w:kern w:val="36"/>
          <w:sz w:val="18"/>
          <w:szCs w:val="18"/>
        </w:rPr>
        <w:t>Fakta: Grundlag Nyrup Rasmussen-regeringen</w:t>
      </w:r>
    </w:p>
    <w:p w:rsidR="002A18E7" w:rsidRPr="002A18E7" w:rsidRDefault="002A18E7" w:rsidP="002A18E7">
      <w:pPr>
        <w:spacing w:after="0" w:line="139" w:lineRule="atLeast"/>
        <w:outlineLvl w:val="3"/>
        <w:rPr>
          <w:rFonts w:ascii="Arial" w:eastAsia="Times New Roman" w:hAnsi="Arial" w:cs="Arial"/>
          <w:i/>
          <w:iCs/>
          <w:color w:val="333333"/>
          <w:sz w:val="12"/>
          <w:szCs w:val="12"/>
        </w:rPr>
      </w:pPr>
      <w:r w:rsidRPr="002A18E7">
        <w:rPr>
          <w:rFonts w:ascii="Arial" w:eastAsia="Times New Roman" w:hAnsi="Arial" w:cs="Arial"/>
          <w:i/>
          <w:iCs/>
          <w:color w:val="333333"/>
          <w:sz w:val="12"/>
          <w:szCs w:val="12"/>
        </w:rPr>
        <w:t xml:space="preserve">PIV </w:t>
      </w:r>
    </w:p>
    <w:p w:rsidR="002A18E7" w:rsidRPr="002A18E7" w:rsidRDefault="002A18E7" w:rsidP="002A18E7">
      <w:pPr>
        <w:spacing w:after="0" w:line="139" w:lineRule="atLeast"/>
        <w:rPr>
          <w:rFonts w:ascii="Arial" w:eastAsia="Times New Roman" w:hAnsi="Arial" w:cs="Arial"/>
          <w:color w:val="333333"/>
          <w:sz w:val="12"/>
          <w:szCs w:val="12"/>
        </w:rPr>
      </w:pPr>
      <w:r w:rsidRPr="002A18E7">
        <w:rPr>
          <w:rFonts w:ascii="Arial" w:eastAsia="Times New Roman" w:hAnsi="Arial" w:cs="Arial"/>
          <w:color w:val="333333"/>
          <w:sz w:val="12"/>
          <w:szCs w:val="12"/>
        </w:rPr>
        <w:t xml:space="preserve">Regeringsgrundlag - Christiansborg 26. januar 1994 - FÆLLES FREMTID Regeringen vil fortsætte det arbejde, der blev sat i gang for 20 måneder siden, i overensstemmelse med den linie, der blev fastlagt i EN NY START. </w:t>
      </w:r>
    </w:p>
    <w:p w:rsidR="002A18E7" w:rsidRPr="002A18E7" w:rsidRDefault="002A18E7" w:rsidP="002A18E7">
      <w:pPr>
        <w:spacing w:after="0" w:line="139" w:lineRule="atLeast"/>
        <w:rPr>
          <w:rFonts w:ascii="Arial" w:eastAsia="Times New Roman" w:hAnsi="Arial" w:cs="Arial"/>
          <w:color w:val="333333"/>
          <w:sz w:val="12"/>
          <w:szCs w:val="12"/>
        </w:rPr>
      </w:pPr>
      <w:r w:rsidRPr="002A18E7">
        <w:rPr>
          <w:rFonts w:ascii="Arial" w:eastAsia="Times New Roman" w:hAnsi="Arial" w:cs="Arial"/>
          <w:color w:val="333333"/>
          <w:sz w:val="12"/>
          <w:szCs w:val="12"/>
        </w:rPr>
        <w:t xml:space="preserve">Et nøgleord for regeringen vil være samarbejde både inden for og uden for landets grænser. Regeringen vil gøre sit til, at samarbejdet lykkes.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Partierne bag regeringen har et fælles menneskesyn og et fælles ønske om at værne, forny og udvikle velfærdssamfundet. Målet er et samfund, hvor tryghed for alle forenes med fremskridt og fornyelse. Og hvor livskvalitet og bæredygtig økonomisk vækst går hånd i hånd.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Vi ønsker et helt, ikke et delt Danmark, hvor alle har værdi og ret til at være med.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har med sine initiativer skabt grundlaget for en positiv udvikling i Danmarks økonomi og dansk erhvervsliv med stadig flere nye arbejdspladser og en bedre hverdag.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videreføre og forstærke denne udvikling.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Der skal gennemføres sociale forbedringer, der er målrettet mod de mest påtrængende problemer inden for ældreomsorg, familiepolitik og hjælpen til de særligt udsatte grupper i vort samfund. Sygehusvæsenet skal fortsat udbygges.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Indsatsen mod ensomhed og tab af selvværd er en af vore største sociale opgaver i dagens Danmark.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Den grønne linie er et bærende element i regeringens politik.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lægger afgørende vægt på respekten for naturens mangfoldighed og på respekten for menneskets værdighed. Regeringen vil fastholde høje etiske krav i forbindelse med de spørgsmål, som den hastige udvikling i genteknologi m.v. rejser.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Danmark skal deltage aktivt i løsningen af de internationale opgaver.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Danmarks deltagelse i det europæiske samarbejde frem til regeringskonferencen i 1996 - og efter - skal tilrettelægges således, at der sikres en bred folkelig forståelse og accept.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føre en engageret international politik og en positiv reformpolitik i Danmark, men forudsætningen er, at der er orden i dansk økonomi, gode rammebetingelser for erhvervslivet, og at alle i befolkningen er med og yder deres bidrag.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Hverdagen præges af en stadig større informationsstrøm, en øget international arbejdsdeling med konkurrence fra lavtlønslande og den hurtige teknologiske udvikling. Derfor er en af 90'ernes hovedopgaver at få tilrettelagt vor uddannelsespolitik så den lever op til de krav den moderne samfundsudvikling stiller.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Alle skal dygtiggøre sig. Vi skal finde nye veje. Vi skal bestandigt forbedre vore kvalifikationer. Uddannelse, efteruddannelse og anden dygtiggørelse, samt en styrket forskningsindsats er nødvendig. Det skal sikre en stærk økonomi på længere sigt.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Orlovsordningerne er en blivende forbedring, som gør det muligt at dygtiggøre sig og få tid til familien. Orlovsordningerne er også et led i en dynamisk moderne fordeling af arbejdet og giver mulighed for opkvalificering.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Samarbejde om udvikling og fornyelse i erhvervslivet og den offentlige sektor og om Danmarks aktive deltagelse i det europæiske og internationale samarbejde er forudsætninger for, at det danske samfund hele tiden er parat til at møde de nye udfordringer.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Vilje og evne til at forandre og forny er nødvendig for at skabe et Danmark, hvor der er plads til alle og brug for alle. Målet for al politisk indsats må være, at den enkelte har mulighed for at bruge sine kræfter og udnytte sine evner til glæde for sig selv og til gavn for samfundet.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ser ingen modsætning mellem behovet for en positiv reformpolitik og fastholdelse af en ansvarlig økonomisk politik. Tværtimod er forudsætningen for opfyldelsen af de mange ønsker om forbedringer, at den igangværende udvikling med økonomisk vækst, lav inflation, stigende beskæftigelse og fremgang i eksporten fastholdes. Det kan kun ske, hvis rammerne i finanslovforslaget for 1995 respekteres, og hvis overenskomstfornyelserne til foråret ikke svækker virksomhedernes konkurrenceevne.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Fornyelsen og udbygningen af velfærdssamfundet forudsætter aktiv deltagelse i demokratiet. Regeringen vil tilrettelægge sit arbejde, så det fremmer en aktiv indflydelse i hverdagen fra alle befolkningsgrupper.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ser det som sin vigtigste opgave at formidle et godt samarbejde i Folketinget og være lydhør over for interesser og holdninger uden for Folketinget.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Alle partier, der vil være med til at forme en aktiv dansk udenrigspolitik, fastholde en stabil linie i den økonomiske politik og inspirere til nye reformer herhjemme, vil få indflydelse og medansvar i de kommende fire år.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ET STÆRKT ØKONOMISK GRUNDLAG En stabil kurs i den økonomiske politik er en afgørende forudsætning for stærk og varig vækst i beskæftigelsen, der bringer arbejdsløsheden ned og effektivt bekæmper langvarig ledighed som et socialt og menneskeligt problem. En stabil kurs i den økonomiske politik er en afgørende forudsætning for stærk og varig vækst i beskæftigelsen, der bringer arbejdsløsheden ned og effektivt bekæmper langvarig ledighed som et socialt og menneskeligt problem.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Både af hensyn til den enkelte og til samfundets økonomi er det helt afgørende, at langt færre mennesker bliver afhængige af passiv forsørgelse fra det offentlige.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værne om styrkepositionerne i dansk økonomi: Valutastabilitet, lavinflation og solidt overskud på betalingsbalancen.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Fortsat lav inflation og målbevidst reduktion af underskuddet på de offentlige finanser er nødvendige betingelser for et fald i renten, der kan styrke investeringer og beskæftigelse.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derfor ubetinget fastholde den stramme udgiftspolitiske linie i finanslovsforslaget for 1995 og videreføre den i de følgende år.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Besparelser og indtægtsforbedringer som følge af fremgangen i beskæftigelsen skal bidrage til at fjerne underskuddet på de offentlige finanser og i løbet af de nærmeste år gøre det muligt at begynde en nedbringelse også af statens indenlandske gæld.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Udgiftspolitikken skal tilrettelægges, så væksten i det offentlige forbrug år for år ligger klart lavere end væksten i produktionen, og at udgifts- og skattetrykket falder i overensstemmelse med det økonomiske program, Danmark har fremlagt i EU (Konvergensprogrammet).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Principperne for den statslige udgiftsstyring fastholdes med opdelingen mellem de rammestyrede driftsudgifter, de konjunkturbestemte udgifter og investeringerne. De offentlige investeringer iværksættes i en takt, der bidrager til en stabil konjunkturudvikling.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tage initiativ til stramninger i den økonomiske politik, hvis tendenser til overophedning og inflationspres viser sig.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Det er afgørende for den fortsatte fremgang i beskæftigelsen, at der både på det offentlige og det private arbejdsmarked afsluttes overenskomster, der viderefører linien fra de senere år, hvor reallønsfremgang er sket på baggrund af små pengelønstigninger. Den fortsatte reduktion i indkomstskatterne som følge af skattereformen vil bidrage hertil.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ERHVERV OG FORSKNING Vilkårene for dansk erhvervsliv er af afgørende betydning for at skabe øget beskæftigelse og indtjening, og en forudsætning for, at vi kan fastholde et velfærdssamfund af høj kvalitet. Regeringen anskuer således erhvervspolitik Vilkårene for dansk erhvervsliv er af afgørende betydning for at skabe øget beskæftigelse og indtjening, og en forudsætning for, at vi kan fastholde et velfærdssamfund af høj kvalitet. Regeringen anskuer således erhvervspolitik bredt.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lastRenderedPageBreak/>
        <w:br/>
        <w:t xml:space="preserve">Derfor skal erhvervenes konkurrenceevne fortsat styrkes. Regeringen vil også fremover stræbe efter at skabe de bedst mulige rammebetingelser for en alsidig erhvervsudvikling.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Regeringens lovinitiativer vil fortsat blive vurderet i lyset af de erhvervsøkonomiske konsekvenser.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Der er meget store muligheder for øget produktion, eksport og beskæftigelse, både i erhvervenes traditionelle styrkepositioner og i servicesektoren. Velfærdskommissionen vil her fremkomme med ideer og forslag til nye initiativer. En udbygning af samarbejdet mellem den offentlige og den private sektor kan give et nyt positivt bidrag til vækst og beskæftigelse.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overveje, hvordan forholdene for de små og mellemstore virksomheder kan forbedres gennem administrative forenklinger samt udvikling af erhvervsservicecentre og bedre rammebetingelser, så flere tilskyndes til at starte ny virksomhed og flere nye virksomheder overlever de første vanskelige år. Nye finansieringsmuligheder overvejes. Planerne for udvikling af landdistrikterne følges op. Nye realkreditmuligheder vurderes.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Også uddannelserne spiller en vigtig rolle for at give unge lyst til at starte egen virksomhed.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Forskning, såvel den private som den offentlige, må have meget høj prioritet, og der er tilført betydelige midler på forslaget til finansloven for 1995. Indsatsen skal øges yderligere i de kommende år, idet regeringens målsætning er, at den danske forskningsindsats i år 2000 kommer op på samme niveau som i sammenlignelige lande. Samarbejdet om forskning og udvikling mellem universiteter, offentlige sektorforskningsinstitutioner og private virksomheder skal udvikles. Formidling og spredning af forskningsresultater skal fremmes for at sikre en mere effektiv udnyttelse af ressoucerne.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DEN GRØNNE LINIE Regeringen lægger vægt på, at borgerne i større omfang inddrages i beskyttelsen af miljø og natur. I befolkningen er der et stort engagement, som regeringen ønsker at understøtte. Det er en stor opgave at sikre miljø og natur, der kun Regeringen lægger vægt på, at borgerne i større omfang inddrages i beskyttelsen af miljø og natur. I befolkningen er der et stort engagement, som regeringen ønsker at understøtte. Det er en stor opgave at sikre miljø og natur, der kun kan løses, hvis alle borgere har mulighed for at påtage sig et ansvar.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Opgaven kan ikke overlades til myndighederne alene. Det er afgørende, at borgerne inddrages aktivt og sikres bedre information og bedre muligheder for at engagere sig i miljøspørgsmål. Regeringen vil tage en række initiativer på dette område.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Det er afgørende, at den økonomiske fremgang sker på et miljømæssigt bæredygtigt grundlag. Der skal ske en opprioritering af udvikling og anvendelse af renere teknologi, naturbeskyttelse og lavere ressourceforbrug, også med henblik på at styrke Danmarks internationale konkurrenceposition og eksportmuligheder på disse områder.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Skattereformens grundprincip om en omlægning fra skat på arbejdskraft til skat på sparsomme naturresourcer videreføres og udvikles. Derfor støtter Danmark også helt og fuldt de tilsvarende bestræbelser i EU (jf.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Kommissionens Hvidbog). Som tidligere bebudet vil der ske en gradvis indførsel af grønne afgifter for erhvervslivet med fuld tilbageførsel af provenuet. Erhvervene vil snarest blive direkte inddraget i forhandlinger herom med det formål at sikre, at virksomhederne kan opnå omkostningsnedsættelser ved en mere miljørigtig adfærd samt undgå, at erhvervslivets internationale konkurrenceevne forringes. De grønne afgifter er et middel til at sikre en miljømæssigt forsvarlig produktion i Danmark.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drage omsorg for, at der foretages miljøvurderinger i alle væsentlige spørgsmål.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bidrage til formidlingen af renere teknologi og miljørigtig adfærd - herunder også drage omsorg for at det grønne islæt indgår i uddannelserne.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Ved offentlige indkøb, koncessioner og licitationer skal miljøhensyn indgå.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Der skal udvikles 'grønne regnskaber' for større, miljøtunge virksomheder.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Den enkelte virksomhed vil dermed få overblik over ressourceforbrug, restprodukter, spildevand osv. Disse regnskaber vil også give offentligheden indsigt i, hvordan virksomhederne påvirker det omgivende miljø.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Samfundets samlede 'grønne regnskab' skal også opgøres. Derfor vil arbejdet med et grønt nationalregnskab blive videreført.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Rent drikkevand og rent vandmiljø i vore indre farvande hører til blandt de højest prioriterede opgaver på miljøområdet i de kommende år. Der er behov for en forstærket og koordineret indsats både for beskyttelsen af grundvandet, oprydning efter jordforurening og mod iltsvind i de indre farvande. Udviklingen af renere teknologi, håndtering af affald, pleje af skove og naturområder og naturgenopretning må fortsættes. Regeringen vil fremlægge forslag til, hvordan forureningen med miljøbelastende stoffer fra bl.a. jordbruget kan mindskes og økologisk bæredygtige løsninger fremmes.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har aftalt med landbruget, at man snarest muligt vil drøfte en række emner i forbindelse med landbrugets belastning af miljøet. Blandt disse kan fremhæves begrænsning af brugen af gødningsstoffer, begrænsning af forbruget af sprøjtemidler samt udnyttelse af EUs landbrugsreform til gavn for miljøet. I disse drøftelser skal indgå konsekvenser for landbrugets økonomi og konkurrenceevne.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Handlingsplanerne for reduktion af miljøbelastningen og ressourceforbruget i energi- og trafiksektorerne Energi 2000 og Trafik 2005 vil fortsat blive nøje fulgt op. Der kan løbende være behov for justeringer og introduktion af nye initiativer, således at målsætningerne kan nås.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Danmark har også et ansvar for den internationale miljøindsats. Det ansvar øn-sker regeringen fuldt ud at leve op til. Oprydningen i Østeuropa og udviklingen af bæredygtige livsgrundlag i den tredje verden er blandt de vigtigste opgaver i de kommende år. Også andre lande i Europa bør inddrages i dette arbejde.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UDDANNELSE OG ARBEJDE Et velfungerende arbejdsmarked er en grundforudsætning for en stærk økonomi med stigende beskæftigelse. Derfor vil regeringen tage alle nødvendige skridt til at justere den arbejdsmarkeds- og uddannelsespolitiske indsats, så Et velfungerende arbejdsmarked er en grundforudsætning for en stærk økonomi med stigende beskæftigelse. Derfor vil regeringen tage alle nødvendige skridt til at justere den arbejdsmarkeds- og uddannelsespolitiske indsats, så flaskehalse forebygges og strukturproblemer på arbejdsmarkedet ikke stiller sig i vejen for et fortsat og stabilt opsving i beskæftigelsen.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Kun med en veluddannet arbejdsstyrke kan vi gribe de mange nye jobmuligheder, som skabes med den internationale økonomiske og teknologiske udvikling.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Det bliver en hovedopgave i resten af 1990'erne at udvikle vort samlede uddannelsessystem, så det giver både unge og voksne, beskæftigede og ledige, de nødvendige nye og ekstra kvalifikationer. I alle dele af vort uddannelsessystem skal de grundlæggende færdigheder styrkes.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Vejledningen både for unge og voksne om de forskellige uddannelsesmuligheder skal forbedres.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Alle unge skal have tilbud om uddannelse eller job, der giver fast tilknytning til arbejdsmarkedet. For de unge, der ikke opnår en kompetence, der giver adgang til arbejdsmarkedet, bør der aftales job på lærlingelignende vilkår, der giver specifikke erhvervskvalifikationer.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I de faglige og videregående uddannelser skal sikres høj kvalitet, og der skal ske en udbygning, så alle kvalificerede unge får adgang. Regeringen vil forenkle reglerne for SU og overveje andre forbedringer i systemet.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I samarbejde med arbejdsmarkedets parter gennemføres en samlet reform af voksen- og efteruddannelsen, som medfører, at reglerne forenkles, at efterspørgslen bliver styrende, og at kapaciteten udvides med 10.000 nye pladser hvert år.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Bevarelse af gode muligheder for uddannelsesorlov er en afgørende forudsætning for, at stadig flere vil vælge at dygtiggøre sig.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Uddannelsesorloven gøres permanent, samtidig med at den langsigtede finansiering fastlægges.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sammen med arbejdsmarkedets parter vurdere erfaringerne med sabbatorloven.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Arbejdsmarkedsreformen videreføres og justeres, så den bidrager bedst muligt til at smidiggøre arbejdsmarkedet. Jobtræning sammenkobles så vidt muligt med uddannelse og opkvalificering, der fører frem mod fast, ustøttet beskæftigelse. Reglerne for handlingsplaner for de ledige forenkles, og forpligtelsen til at være til rådighed for ordinær beskæftigelse gøres effektiv. Der tilrettelægges en ekstra indsats for at lette faglig og geografisk mobilitet. Indsatsen styrkes for at få personer, der har været ledige i mere end fire år, ind i særligt tilrettelagte jobtilbud af længere varighed.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Ikke alle har de forudsætninger, der er nødvendige for at klare sig på arbejdsmarkedets almindelige vilkår. Mange, der har været lang tid ledige, har svært ved igen at få en mere varig tilknytning til arbejdsmarkedet.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Derfor vil regeringen sammen med arbejdsmarkedets parter overveje mulighederne for en ordning med særlige vilkår for personer med nedsat arbejdsevne, der ellers trues af permanent at være henvist til passiv forsørgelse.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Der skal skabes en bedre sammenhæng mellem arbejdsmarkeds- og socialpolitikken og den uddannelsesmæssige indsats, så konflikter og overlapninger undgås. Målet er at nå frem til et system, der giver den enkelte de bedste muligheder for at få fodfæste på arbejdsmarkedet. Et system, der bygger på rettigheder og pligter, muligheder og ansvar.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ET MODERNE VELFÆRDSSAMFUND Fornyelse og forbedring af den offentlige service skal sikres i et samarbejde mellem stat, amter og kommuner, og med de offentligt ansattes aktive medvirken. Al indsats skal tage udgangspunkt i borgernes behov for kvalitet, Fornyelse og forbedring af den offentlige service skal sikres i et samarbejde mellem stat, amter og kommuner, og med de offentligt ansattes aktive medvirken. Al indsats skal tage udgangspunkt i borgernes behov for kvalitet, effektivitet og valgmuligheder. Der skal gøres op med kassetænkning og gennemføres en regelforenkling, der sikrer den enkeltes overblik og rettigheder i forhold til det offentlige.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En moderne personalepolitik skal give de offentligt ansatte et udviklende arbejde, gode efteruddannelsesmuligheder og tryghed i forandringen. De offentligt ansatte skal under hensyntagen til deres loyalitetsforpligtelse, have mulighed for, på lige fod med andre at deltage i den offentlige debat.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Bedre anvendelse af den nye teknologi i den offentlige sektor vurderes ud fra perspektiverne i udvalgsrapporten 'Informationssamfund år 2000'.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Der skal udvikles nye former for bedre offentlig service, også i samarbejde mellem den offentlige og private sektor. Dette skal tage udgangspunkt i brugernes situation og behov, og der skal sikres service af høj kvalitet og gode arbejdsvilkår. Formålet er at øge mulighederne for at styrke den samlede beskæftigelse. Regeringen vil til stadighed være opmærksom på behovet for demokratisering af samfundets institutioner, så borgerne sikres medindflydelse.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fremkomme med forslag til en reform af det kommunale tilskuds- og udligningssystem, så det bliver enklere og mere gennemskueligt, og der sikres en bedre sammenhæng mellem tilskud, udgiftsbehov og skattegrundlag. Forskelle i lokal beskatning skal afspejle forskelle i det politisk besluttede serviceniveau.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desuden vurdere den amtskommunale struktur i hovedstadsområdet og andre særlige problemer i hovedstaden.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I samarbejde med amtskommunerne vil regeringen udmønte aftalen om udviklingen i vort sygehusvæsen, der i de kommende fire år sikrer midler til afgørende kvalitetsforbedringer med flere behandlinger, kortere ventetider og bedre service for borgerne. Der skal ved forbedret økonomistyring, arbejdstilrettelæggelse og overordnet planlægning sikres den bedst mulige udnyttelse af ressourcerne i sundhedssektoren.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er særlig opmærksom på behovet for bedre rammer for behandlingen af de sindslidende.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Den forebyggende indsats i sundhedspolitikken skal fortsat styrkes.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Ved reform af arbejdsskadeforsikringen skal virksomhederne økonomisk tilskyndes til bedre at forebygge skader.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Det offentlige skal gå foran for at realisere målene for et 'sundt arbejdsmiljø 2005'.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Omsorgen for vore ældre skal forbedres som del af aftalerne mellem staten og kommunerne. Det skal sikres, at der uddannes et tilstrækkeligt antal medarbejdere indenfor ældreomsorgen. Regeringen vil tilskynde til fortsat høj udbygningstakt m.h.t.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ældreboliger og moderne plejehjem, så behovene kan dækkes, og det forhindres, at ældre efter endt behandling bliver liggende på sygehusene.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sammen med kommunerne kortlægge det nuværende serviceniveau indenfor ældreområdet, ikke mindst hjemmehjælp mv. og på baggrund heraf vurdere det fremtidige servicebehov - også i lyset af det stigende antal ældre.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ønsker desuden med amter og kommuner at drøfte mulighederne for at omsætte en del af den arbejdsmarkedspolitiske indsats over for de ledige i nye faste jobs inden for offentlige serviceområder, hvor behovet er særlig stort - især hjælpe- og omsorgsindsats på sygehus-, plejehjems- og hjemmehjælpsområdet.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Regeringens mål er fortsat, at der til de forældre, der ønsker det, er en pasningsgaranti for alle børn fra et og op til seks års alderen. Ved nye forhandlinger med kommunerne tidligt i 1995 vil der blive gjort status og behovet for opfølgning på pasningsgarantien vil blive vurderet.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fastholde, at der skal være mulighed for orlov til børnepasning. I lyset af de indhøstede erfaringer vil regeringen fremkomme med forslag til justering af ordningen.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nøje overvåge, at den aftalte indsats for særligt udsatte og overfor problemerne i storbyerne føres ud i livet - f.eks. forbedring af vilkårene for de sindslidende i lokalområderne, øget behandlingsindsats for stofmisbrugere, særlig indsats i socialt belastede boligområder og overfor hjemløse. Regeringen ønsker at udbygge samarbejdet med de frivillige organisationer om dette arbejde. Det vil løbende blive vurderet, om den iværksatte indsats er effektiv nok, og om der er brug for at gøre mere.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følge op på initiativerne med henblik på at sikre øget integration af flygtninge og indvandrere og fortsætte bestræbelserne på at effektivisere behandlingen af asylsager.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lægge op til et bredt flerårigt forlig om bevillingerne til politi og retsvæsen med det formål på særlige områder at styrke politiets indsats og nedbringe sagsbehandlingstiderne ved domstolene. Regeringen vil overveje nye initiativer og sanktioner især overfor førstegangskriminelle unge.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Den enkeltes retssikkerhed skal styrkes. Regeringen støtter forslaget om, at ombudsmandens kompetence udstrækkes til fuldt ud at dække det kommunale område med fornøden hensyntagen til det kommunale selvstyre.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KULTUR OG NATIONAL IDENTITET Kulturpolitikken skal støtte frembringelsen og bevarelsen af dansk kunst og kultur. Det er nødvendigt for at vi kan fastholde dansk identitet i et samfund, der i stigende grad præges af udenlandske medier og kulturtilbud, og Kulturpolitikken skal støtte frembringelsen og bevarelsen af dansk kunst og kultur. Det er nødvendigt for at vi kan fastholde dansk identitet i et samfund, der i stigende grad præges af udenlandske medier og kulturtilbud, og af internationalt samarbejde.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Vi skal lade os inspirere udefra og selv skabe kunst og kultur af en så høj kvalitet, at det vækker interesse hjemme og ude. I et lille land som Danmark er det nødvendigt med en aktiv offentlig støtte for at skabe gode økonomiske og fysiske rammer, som uden at styre kunst og kulturlivet kan sikre mangfoldigheden.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En aktiv kulturpolitik skal bidrage til borgernes aktive deltagelse i kulturlivet over hele landet. Regeringen vil fremlægge en langsigtet perspektivplan for byggeriet af statslige kulturinstitutioner.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DANMARK I VERDEN Regeringen vil leve op til Danmarks globale ansvar, internationale forpligtelser og europæiske engagement. Udfordringerne er store, og bred folkelig forståelse og opbakning er nødvendig. Regeringen vil leve op til Danmarks globale ansvar, internationale forpligtelser og europæiske engagement. Udfordringerne er store, og bred folkelig forståelse og opbakning er nødvendig.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I EU-samarbejdet har Danmark en række vigtige ønsker og mål. Det er i Danmarks interesse, at de nordiske ansøgerlande siger ja ved folkeafstemningerne i efteråret 1994. Det nordiske samarbejde har en selvstændig værdi og skal fortsat udvikles også i det nye Europa.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udnytte alle muligheder for nordisk samarbejde om udviklingen af et mere åbent, dynamisk og demokratisk EU.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Udvidelsen af EU med de nordiske lande og Østrig skaber også grundlaget for at løse den næste udfordring: En tættere tilknytning af landene i Central- og Østeuropa og de baltiske lande med henblik på medlemskab. Det vil være et vigtigt bidrag til stabilitet og sikkerhed i Europa.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i EU fortsat arbejde for at fremme hensynet til vækst og beskæftigelse, miljø, åbenhed og nærhed i fortsættelse af 'Danmark i Europa', der er udtryk for en langsigtet dansk EU-politik.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Danmark vil med Edinburgh-afgørelsen som grundlaget for den danske politik deltage aktivt i forberedelserne til EUs regeringskonference i 1996.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EU skal styrkes, når det gælder en fælles indsats for øget beskæftigelse og bedre miljø i Europa og når det gælder en mere aktiv rolle for EU i det globale samarbejde herom. Det indre marked føres i overensstemmelse med topmødebeslutningen fra Korfu ud i livet med fuld hensyntagen til miljøspørgsmålene. I denne sammenhæng sikres vigtige nationale miljøbeskyttelsesforanstaltninger.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vil inden sommeren 1995 fremlægge en embedsmandsrapport, der analyserer mulige forslag til ændringer af traktaten.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indbyder - i erkendelse af, at udviklingen ikke bør gå forud for befolkningens ønsker - til en bred folkelig dialog om danske forslag og initiativer på konferencen. I samarbejde med Folketingets partier vil regeringen derefter udarbejde et dansk memorandum.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Det særlige danske grundlag i henhold til Edinburgh-afgørelsen kan kun ændres ved en ny folkeafstemning.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NATO, FN og CSCE er grundlaget for dansk sikkerhedspolitik. Medlemskabet af NATO er fundamentalt for Danmarks forsvar.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Det danske engagement i FNs konfliktforebyggende og fredsbevarende virksomhed skal fastholdes.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Regeringen ønsker et nyt, bredt flerårigt forsvarsforlig. Forsvarets fortsatte omstilling til den ændrede sikkerhedspolitiske situation og de nye internationale opgaver vil stå i centrum her. På grundlag af rapporten om fremtidige konflikttyper og konsekvenser for forsvaret og det efterfølgende udredningsarbejde vil regeringen fremlægge et udspil om forsvarets fortsatte omstilling med videreførelse af de principper for forsvarets udgiftsdækning, som blev fastlagt i det nuværende forsvarsforlig.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Friere verdenshandel og økonomisk bistand til de fattige lande er et væsentligt bidrag til stabilitet i verden. Regeringen vil fastholde udviklingsbistanden på det vedtagne niveau og fortsætte den aftalte gradvise optrapning af miljø- og katastrofefonden med udvidelse af anvendelsesområdet fra 1996. Regeringen vil også fortsætte øststøtteprogrammerne. </w:t>
      </w:r>
      <w:r w:rsidRPr="002A18E7">
        <w:rPr>
          <w:rFonts w:ascii="Arial" w:eastAsia="Times New Roman" w:hAnsi="Arial" w:cs="Arial"/>
          <w:color w:val="333333"/>
          <w:sz w:val="12"/>
          <w:szCs w:val="12"/>
        </w:rPr>
        <w:br/>
      </w:r>
      <w:r w:rsidRPr="002A18E7">
        <w:rPr>
          <w:rFonts w:ascii="Arial" w:eastAsia="Times New Roman" w:hAnsi="Arial" w:cs="Arial"/>
          <w:color w:val="333333"/>
          <w:sz w:val="12"/>
          <w:szCs w:val="12"/>
        </w:rPr>
        <w:br/>
        <w:t xml:space="preserve">FN er central i den danske internationale indsats. Derfor er det vigtigt, at verdensorganisationen i 50-året for sin grundlæggelse finder ny og aktiv opbakning blandt sine medlemmer. </w:t>
      </w:r>
    </w:p>
    <w:p w:rsidR="002A18E7" w:rsidRPr="002A18E7" w:rsidRDefault="002A18E7" w:rsidP="002A18E7">
      <w:pPr>
        <w:spacing w:after="240" w:line="240" w:lineRule="auto"/>
        <w:rPr>
          <w:rFonts w:ascii="Arial" w:eastAsia="Times New Roman" w:hAnsi="Arial" w:cs="Arial"/>
          <w:sz w:val="11"/>
          <w:szCs w:val="11"/>
        </w:rPr>
      </w:pPr>
      <w:r w:rsidRPr="002A18E7">
        <w:rPr>
          <w:rFonts w:ascii="Arial" w:eastAsia="Times New Roman" w:hAnsi="Arial" w:cs="Arial"/>
          <w:sz w:val="11"/>
          <w:szCs w:val="11"/>
        </w:rPr>
        <w:br/>
      </w:r>
      <w:r w:rsidRPr="002A18E7">
        <w:rPr>
          <w:rFonts w:ascii="Arial" w:eastAsia="Times New Roman" w:hAnsi="Arial" w:cs="Arial"/>
          <w:sz w:val="11"/>
          <w:szCs w:val="11"/>
        </w:rPr>
        <w:br/>
      </w:r>
    </w:p>
    <w:tbl>
      <w:tblPr>
        <w:tblW w:w="0" w:type="auto"/>
        <w:tblBorders>
          <w:top w:val="double" w:sz="4" w:space="0" w:color="336699"/>
          <w:bottom w:val="double" w:sz="4" w:space="0" w:color="336699"/>
        </w:tblBorders>
        <w:tblCellMar>
          <w:left w:w="0" w:type="dxa"/>
          <w:right w:w="0" w:type="dxa"/>
        </w:tblCellMar>
        <w:tblLook w:val="04A0" w:firstRow="1" w:lastRow="0" w:firstColumn="1" w:lastColumn="0" w:noHBand="0" w:noVBand="1"/>
      </w:tblPr>
      <w:tblGrid>
        <w:gridCol w:w="2284"/>
        <w:gridCol w:w="3476"/>
      </w:tblGrid>
      <w:tr w:rsidR="002A18E7" w:rsidRPr="002A18E7" w:rsidTr="002A18E7">
        <w:tc>
          <w:tcPr>
            <w:tcW w:w="2284" w:type="dxa"/>
            <w:tcBorders>
              <w:top w:val="nil"/>
              <w:left w:val="nil"/>
              <w:bottom w:val="single" w:sz="4" w:space="0" w:color="999999"/>
              <w:right w:val="nil"/>
            </w:tcBorders>
            <w:tcMar>
              <w:top w:w="50" w:type="dxa"/>
              <w:left w:w="0" w:type="dxa"/>
              <w:bottom w:w="50" w:type="dxa"/>
              <w:right w:w="0" w:type="dxa"/>
            </w:tcMar>
            <w:hideMark/>
          </w:tcPr>
          <w:p w:rsidR="002A18E7" w:rsidRPr="002A18E7" w:rsidRDefault="002A18E7" w:rsidP="002A18E7">
            <w:pPr>
              <w:spacing w:after="0" w:line="240" w:lineRule="auto"/>
              <w:rPr>
                <w:rFonts w:ascii="Arial" w:eastAsia="Times New Roman" w:hAnsi="Arial" w:cs="Arial"/>
                <w:color w:val="999999"/>
                <w:sz w:val="11"/>
                <w:szCs w:val="11"/>
              </w:rPr>
            </w:pPr>
            <w:r w:rsidRPr="002A18E7">
              <w:rPr>
                <w:rFonts w:ascii="Arial" w:eastAsia="Times New Roman" w:hAnsi="Arial" w:cs="Arial"/>
                <w:color w:val="999999"/>
                <w:sz w:val="11"/>
                <w:szCs w:val="11"/>
              </w:rPr>
              <w:t>Titel</w:t>
            </w:r>
          </w:p>
        </w:tc>
        <w:tc>
          <w:tcPr>
            <w:tcW w:w="3476" w:type="dxa"/>
            <w:tcBorders>
              <w:top w:val="nil"/>
              <w:left w:val="nil"/>
              <w:bottom w:val="single" w:sz="4" w:space="0" w:color="999999"/>
              <w:right w:val="nil"/>
            </w:tcBorders>
            <w:tcMar>
              <w:top w:w="50" w:type="dxa"/>
              <w:left w:w="0" w:type="dxa"/>
              <w:bottom w:w="50" w:type="dxa"/>
              <w:right w:w="0" w:type="dxa"/>
            </w:tcMar>
            <w:hideMark/>
          </w:tcPr>
          <w:p w:rsidR="002A18E7" w:rsidRPr="002A18E7" w:rsidRDefault="002A18E7" w:rsidP="002A18E7">
            <w:pPr>
              <w:spacing w:after="0" w:line="240" w:lineRule="auto"/>
              <w:rPr>
                <w:rFonts w:ascii="Arial" w:eastAsia="Times New Roman" w:hAnsi="Arial" w:cs="Arial"/>
                <w:color w:val="000000"/>
                <w:sz w:val="11"/>
                <w:szCs w:val="11"/>
              </w:rPr>
            </w:pPr>
          </w:p>
        </w:tc>
      </w:tr>
      <w:tr w:rsidR="002A18E7" w:rsidRPr="002A18E7" w:rsidTr="002A18E7">
        <w:tc>
          <w:tcPr>
            <w:tcW w:w="2284" w:type="dxa"/>
            <w:tcBorders>
              <w:top w:val="nil"/>
              <w:left w:val="nil"/>
              <w:bottom w:val="single" w:sz="4" w:space="0" w:color="999999"/>
              <w:right w:val="nil"/>
            </w:tcBorders>
            <w:tcMar>
              <w:top w:w="50" w:type="dxa"/>
              <w:left w:w="0" w:type="dxa"/>
              <w:bottom w:w="50" w:type="dxa"/>
              <w:right w:w="0" w:type="dxa"/>
            </w:tcMar>
            <w:hideMark/>
          </w:tcPr>
          <w:p w:rsidR="002A18E7" w:rsidRPr="002A18E7" w:rsidRDefault="002A18E7" w:rsidP="002A18E7">
            <w:pPr>
              <w:spacing w:after="0" w:line="240" w:lineRule="auto"/>
              <w:rPr>
                <w:rFonts w:ascii="Arial" w:eastAsia="Times New Roman" w:hAnsi="Arial" w:cs="Arial"/>
                <w:color w:val="999999"/>
                <w:sz w:val="11"/>
                <w:szCs w:val="11"/>
              </w:rPr>
            </w:pPr>
            <w:r w:rsidRPr="002A18E7">
              <w:rPr>
                <w:rFonts w:ascii="Arial" w:eastAsia="Times New Roman" w:hAnsi="Arial" w:cs="Arial"/>
                <w:color w:val="999999"/>
                <w:sz w:val="11"/>
                <w:szCs w:val="11"/>
              </w:rPr>
              <w:t>Stednavne</w:t>
            </w:r>
          </w:p>
        </w:tc>
        <w:tc>
          <w:tcPr>
            <w:tcW w:w="3476" w:type="dxa"/>
            <w:tcBorders>
              <w:top w:val="nil"/>
              <w:left w:val="nil"/>
              <w:bottom w:val="single" w:sz="4" w:space="0" w:color="999999"/>
              <w:right w:val="nil"/>
            </w:tcBorders>
            <w:tcMar>
              <w:top w:w="50" w:type="dxa"/>
              <w:left w:w="0" w:type="dxa"/>
              <w:bottom w:w="50" w:type="dxa"/>
              <w:right w:w="0" w:type="dxa"/>
            </w:tcMar>
            <w:hideMark/>
          </w:tcPr>
          <w:p w:rsidR="002A18E7" w:rsidRPr="002A18E7" w:rsidRDefault="002A18E7" w:rsidP="002A18E7">
            <w:pPr>
              <w:spacing w:after="0" w:line="240" w:lineRule="auto"/>
              <w:rPr>
                <w:rFonts w:ascii="Arial" w:eastAsia="Times New Roman" w:hAnsi="Arial" w:cs="Arial"/>
                <w:color w:val="000000"/>
                <w:sz w:val="11"/>
                <w:szCs w:val="11"/>
              </w:rPr>
            </w:pPr>
            <w:r w:rsidRPr="002A18E7">
              <w:rPr>
                <w:rFonts w:ascii="Arial" w:eastAsia="Times New Roman" w:hAnsi="Arial" w:cs="Arial"/>
                <w:color w:val="000000"/>
                <w:sz w:val="11"/>
                <w:szCs w:val="11"/>
              </w:rPr>
              <w:t xml:space="preserve">Danmark </w:t>
            </w:r>
          </w:p>
        </w:tc>
      </w:tr>
      <w:tr w:rsidR="002A18E7" w:rsidRPr="002A18E7" w:rsidTr="002A18E7">
        <w:tc>
          <w:tcPr>
            <w:tcW w:w="2284" w:type="dxa"/>
            <w:tcBorders>
              <w:top w:val="nil"/>
              <w:left w:val="nil"/>
              <w:bottom w:val="single" w:sz="4" w:space="0" w:color="999999"/>
              <w:right w:val="nil"/>
            </w:tcBorders>
            <w:tcMar>
              <w:top w:w="50" w:type="dxa"/>
              <w:left w:w="0" w:type="dxa"/>
              <w:bottom w:w="50" w:type="dxa"/>
              <w:right w:w="0" w:type="dxa"/>
            </w:tcMar>
            <w:hideMark/>
          </w:tcPr>
          <w:p w:rsidR="002A18E7" w:rsidRPr="002A18E7" w:rsidRDefault="002A18E7" w:rsidP="002A18E7">
            <w:pPr>
              <w:spacing w:after="0" w:line="240" w:lineRule="auto"/>
              <w:rPr>
                <w:rFonts w:ascii="Arial" w:eastAsia="Times New Roman" w:hAnsi="Arial" w:cs="Arial"/>
                <w:color w:val="999999"/>
                <w:sz w:val="11"/>
                <w:szCs w:val="11"/>
              </w:rPr>
            </w:pPr>
            <w:r w:rsidRPr="002A18E7">
              <w:rPr>
                <w:rFonts w:ascii="Arial" w:eastAsia="Times New Roman" w:hAnsi="Arial" w:cs="Arial"/>
                <w:color w:val="999999"/>
                <w:sz w:val="11"/>
                <w:szCs w:val="11"/>
              </w:rPr>
              <w:t>Emneord</w:t>
            </w:r>
          </w:p>
        </w:tc>
        <w:tc>
          <w:tcPr>
            <w:tcW w:w="3476" w:type="dxa"/>
            <w:tcBorders>
              <w:top w:val="nil"/>
              <w:left w:val="nil"/>
              <w:bottom w:val="single" w:sz="4" w:space="0" w:color="999999"/>
              <w:right w:val="nil"/>
            </w:tcBorders>
            <w:tcMar>
              <w:top w:w="50" w:type="dxa"/>
              <w:left w:w="0" w:type="dxa"/>
              <w:bottom w:w="50" w:type="dxa"/>
              <w:right w:w="0" w:type="dxa"/>
            </w:tcMar>
            <w:hideMark/>
          </w:tcPr>
          <w:p w:rsidR="002A18E7" w:rsidRPr="002A18E7" w:rsidRDefault="002A18E7" w:rsidP="002A18E7">
            <w:pPr>
              <w:spacing w:after="0" w:line="240" w:lineRule="auto"/>
              <w:rPr>
                <w:rFonts w:ascii="Arial" w:eastAsia="Times New Roman" w:hAnsi="Arial" w:cs="Arial"/>
                <w:color w:val="000000"/>
                <w:sz w:val="11"/>
                <w:szCs w:val="11"/>
              </w:rPr>
            </w:pPr>
            <w:r w:rsidRPr="002A18E7">
              <w:rPr>
                <w:rFonts w:ascii="Arial" w:eastAsia="Times New Roman" w:hAnsi="Arial" w:cs="Arial"/>
                <w:color w:val="000000"/>
                <w:sz w:val="11"/>
                <w:szCs w:val="11"/>
              </w:rPr>
              <w:t>Regering Landspolitik</w:t>
            </w:r>
          </w:p>
        </w:tc>
      </w:tr>
      <w:tr w:rsidR="002A18E7" w:rsidRPr="002A18E7" w:rsidTr="002A18E7">
        <w:tc>
          <w:tcPr>
            <w:tcW w:w="2284" w:type="dxa"/>
            <w:tcBorders>
              <w:top w:val="nil"/>
              <w:left w:val="nil"/>
              <w:bottom w:val="single" w:sz="4" w:space="0" w:color="999999"/>
              <w:right w:val="nil"/>
            </w:tcBorders>
            <w:tcMar>
              <w:top w:w="50" w:type="dxa"/>
              <w:left w:w="0" w:type="dxa"/>
              <w:bottom w:w="50" w:type="dxa"/>
              <w:right w:w="0" w:type="dxa"/>
            </w:tcMar>
            <w:hideMark/>
          </w:tcPr>
          <w:p w:rsidR="002A18E7" w:rsidRPr="002A18E7" w:rsidRDefault="002A18E7" w:rsidP="002A18E7">
            <w:pPr>
              <w:spacing w:after="0" w:line="240" w:lineRule="auto"/>
              <w:rPr>
                <w:rFonts w:ascii="Arial" w:eastAsia="Times New Roman" w:hAnsi="Arial" w:cs="Arial"/>
                <w:color w:val="999999"/>
                <w:sz w:val="11"/>
                <w:szCs w:val="11"/>
              </w:rPr>
            </w:pPr>
            <w:r w:rsidRPr="002A18E7">
              <w:rPr>
                <w:rFonts w:ascii="Arial" w:eastAsia="Times New Roman" w:hAnsi="Arial" w:cs="Arial"/>
                <w:color w:val="999999"/>
                <w:sz w:val="11"/>
                <w:szCs w:val="11"/>
              </w:rPr>
              <w:t>Personer</w:t>
            </w:r>
          </w:p>
        </w:tc>
        <w:tc>
          <w:tcPr>
            <w:tcW w:w="3476" w:type="dxa"/>
            <w:tcBorders>
              <w:top w:val="nil"/>
              <w:left w:val="nil"/>
              <w:bottom w:val="single" w:sz="4" w:space="0" w:color="999999"/>
              <w:right w:val="nil"/>
            </w:tcBorders>
            <w:tcMar>
              <w:top w:w="50" w:type="dxa"/>
              <w:left w:w="0" w:type="dxa"/>
              <w:bottom w:w="50" w:type="dxa"/>
              <w:right w:w="0" w:type="dxa"/>
            </w:tcMar>
            <w:hideMark/>
          </w:tcPr>
          <w:p w:rsidR="002A18E7" w:rsidRPr="002A18E7" w:rsidRDefault="002A18E7" w:rsidP="002A18E7">
            <w:pPr>
              <w:spacing w:after="0" w:line="240" w:lineRule="auto"/>
              <w:rPr>
                <w:rFonts w:ascii="Arial" w:eastAsia="Times New Roman" w:hAnsi="Arial" w:cs="Arial"/>
                <w:color w:val="000000"/>
                <w:sz w:val="11"/>
                <w:szCs w:val="11"/>
              </w:rPr>
            </w:pPr>
          </w:p>
        </w:tc>
      </w:tr>
      <w:tr w:rsidR="002A18E7" w:rsidRPr="002A18E7" w:rsidTr="002A18E7">
        <w:tc>
          <w:tcPr>
            <w:tcW w:w="2284" w:type="dxa"/>
            <w:tcBorders>
              <w:top w:val="nil"/>
              <w:left w:val="nil"/>
              <w:bottom w:val="single" w:sz="4" w:space="0" w:color="999999"/>
              <w:right w:val="nil"/>
            </w:tcBorders>
            <w:tcMar>
              <w:top w:w="50" w:type="dxa"/>
              <w:left w:w="0" w:type="dxa"/>
              <w:bottom w:w="50" w:type="dxa"/>
              <w:right w:w="0" w:type="dxa"/>
            </w:tcMar>
            <w:hideMark/>
          </w:tcPr>
          <w:p w:rsidR="002A18E7" w:rsidRPr="002A18E7" w:rsidRDefault="002A18E7" w:rsidP="002A18E7">
            <w:pPr>
              <w:spacing w:after="0" w:line="240" w:lineRule="auto"/>
              <w:rPr>
                <w:rFonts w:ascii="Arial" w:eastAsia="Times New Roman" w:hAnsi="Arial" w:cs="Arial"/>
                <w:color w:val="999999"/>
                <w:sz w:val="11"/>
                <w:szCs w:val="11"/>
              </w:rPr>
            </w:pPr>
            <w:r w:rsidRPr="002A18E7">
              <w:rPr>
                <w:rFonts w:ascii="Arial" w:eastAsia="Times New Roman" w:hAnsi="Arial" w:cs="Arial"/>
                <w:color w:val="999999"/>
                <w:sz w:val="11"/>
                <w:szCs w:val="11"/>
              </w:rPr>
              <w:t>Virksomheder</w:t>
            </w:r>
          </w:p>
        </w:tc>
        <w:tc>
          <w:tcPr>
            <w:tcW w:w="3476" w:type="dxa"/>
            <w:tcBorders>
              <w:top w:val="nil"/>
              <w:left w:val="nil"/>
              <w:bottom w:val="single" w:sz="4" w:space="0" w:color="999999"/>
              <w:right w:val="nil"/>
            </w:tcBorders>
            <w:tcMar>
              <w:top w:w="50" w:type="dxa"/>
              <w:left w:w="0" w:type="dxa"/>
              <w:bottom w:w="50" w:type="dxa"/>
              <w:right w:w="0" w:type="dxa"/>
            </w:tcMar>
            <w:hideMark/>
          </w:tcPr>
          <w:p w:rsidR="002A18E7" w:rsidRPr="002A18E7" w:rsidRDefault="002A18E7" w:rsidP="002A18E7">
            <w:pPr>
              <w:spacing w:after="0" w:line="240" w:lineRule="auto"/>
              <w:rPr>
                <w:rFonts w:ascii="Arial" w:eastAsia="Times New Roman" w:hAnsi="Arial" w:cs="Arial"/>
                <w:color w:val="000000"/>
                <w:sz w:val="11"/>
                <w:szCs w:val="11"/>
              </w:rPr>
            </w:pPr>
            <w:r w:rsidRPr="002A18E7">
              <w:rPr>
                <w:rFonts w:ascii="Arial" w:eastAsia="Times New Roman" w:hAnsi="Arial" w:cs="Arial"/>
                <w:color w:val="000000"/>
                <w:sz w:val="11"/>
                <w:szCs w:val="11"/>
              </w:rPr>
              <w:t>Regeringen_Nyrup_II Socialdemokratiet Radikale_Venstre CD</w:t>
            </w:r>
          </w:p>
        </w:tc>
      </w:tr>
    </w:tbl>
    <w:p w:rsidR="002A18E7" w:rsidRPr="002A18E7" w:rsidRDefault="002A18E7" w:rsidP="002A18E7">
      <w:pPr>
        <w:spacing w:line="240" w:lineRule="auto"/>
        <w:rPr>
          <w:rFonts w:ascii="Arial" w:eastAsia="Times New Roman" w:hAnsi="Arial" w:cs="Arial"/>
          <w:color w:val="999999"/>
          <w:sz w:val="11"/>
          <w:szCs w:val="11"/>
        </w:rPr>
      </w:pPr>
      <w:r w:rsidRPr="002A18E7">
        <w:rPr>
          <w:rFonts w:ascii="Arial" w:eastAsia="Times New Roman" w:hAnsi="Arial" w:cs="Arial"/>
          <w:b/>
          <w:bCs/>
          <w:color w:val="999999"/>
          <w:sz w:val="11"/>
          <w:szCs w:val="11"/>
        </w:rPr>
        <w:t>Alt materiale i Infomedia er ophavsretligt beskyttet</w:t>
      </w:r>
      <w:r w:rsidRPr="002A18E7">
        <w:rPr>
          <w:rFonts w:ascii="Arial" w:eastAsia="Times New Roman" w:hAnsi="Arial" w:cs="Arial"/>
          <w:color w:val="999999"/>
          <w:sz w:val="11"/>
          <w:szCs w:val="11"/>
        </w:rPr>
        <w:br/>
      </w:r>
      <w:r w:rsidRPr="002A18E7">
        <w:rPr>
          <w:rFonts w:ascii="Arial" w:eastAsia="Times New Roman" w:hAnsi="Arial" w:cs="Arial"/>
          <w:color w:val="999999"/>
          <w:sz w:val="11"/>
          <w:szCs w:val="11"/>
        </w:rPr>
        <w:br/>
        <w:t>Kunden må ikke sælge, videregive, distribuere, gengive eller mangfoldiggøre materiale fra Infomedia uden særlig og skriftlig aftale med Infomedia. Overført (downloadet) materiale skal slettes efter anvendelsen og må ikke indlægges i informationsgenfindingssystemer, som for eksempel elektroniske postsystemer, databaser, fælles netværk eller lignende.</w:t>
      </w:r>
      <w:r w:rsidRPr="002A18E7">
        <w:rPr>
          <w:rFonts w:ascii="Arial" w:eastAsia="Times New Roman" w:hAnsi="Arial" w:cs="Arial"/>
          <w:color w:val="999999"/>
          <w:sz w:val="11"/>
          <w:szCs w:val="11"/>
        </w:rPr>
        <w:br/>
      </w:r>
      <w:r w:rsidRPr="002A18E7">
        <w:rPr>
          <w:rFonts w:ascii="Arial" w:eastAsia="Times New Roman" w:hAnsi="Arial" w:cs="Arial"/>
          <w:color w:val="999999"/>
          <w:sz w:val="11"/>
          <w:szCs w:val="11"/>
        </w:rPr>
        <w:br/>
        <w:t> </w:t>
      </w:r>
      <w:r w:rsidRPr="002A18E7">
        <w:rPr>
          <w:rFonts w:ascii="Arial" w:eastAsia="Times New Roman" w:hAnsi="Arial" w:cs="Arial"/>
          <w:color w:val="999999"/>
          <w:sz w:val="11"/>
          <w:szCs w:val="11"/>
        </w:rPr>
        <w:br/>
      </w:r>
      <w:r w:rsidRPr="002A18E7">
        <w:rPr>
          <w:rFonts w:ascii="Arial" w:eastAsia="Times New Roman" w:hAnsi="Arial" w:cs="Arial"/>
          <w:color w:val="999999"/>
          <w:sz w:val="11"/>
          <w:szCs w:val="11"/>
        </w:rPr>
        <w:br/>
      </w:r>
      <w:r w:rsidRPr="002A18E7">
        <w:rPr>
          <w:rFonts w:ascii="Arial" w:eastAsia="Times New Roman" w:hAnsi="Arial" w:cs="Arial"/>
          <w:b/>
          <w:bCs/>
          <w:color w:val="999999"/>
          <w:sz w:val="11"/>
          <w:szCs w:val="11"/>
        </w:rPr>
        <w:t>Videreformidling</w:t>
      </w:r>
      <w:r w:rsidRPr="002A18E7">
        <w:rPr>
          <w:rFonts w:ascii="Arial" w:eastAsia="Times New Roman" w:hAnsi="Arial" w:cs="Arial"/>
          <w:color w:val="999999"/>
          <w:sz w:val="11"/>
          <w:szCs w:val="11"/>
        </w:rPr>
        <w:br/>
      </w:r>
      <w:r w:rsidRPr="002A18E7">
        <w:rPr>
          <w:rFonts w:ascii="Arial" w:eastAsia="Times New Roman" w:hAnsi="Arial" w:cs="Arial"/>
          <w:color w:val="999999"/>
          <w:sz w:val="11"/>
          <w:szCs w:val="11"/>
        </w:rPr>
        <w:br/>
        <w:t xml:space="preserve">Kunden må foretage videreformidling (ved videreformidling forstås kopiering, distribution via elektronisk post, tilrådighedsstillelse i databaser, på netværk eller lignende) af modtagne overskrift- og indledningsformater inden for kundens egen virksomhed. Al anden videreformidling af materiale fra Infomedia skal aftales skriftligt med Infomedia. </w:t>
      </w:r>
    </w:p>
    <w:p w:rsidR="002A18E7" w:rsidRPr="002A18E7" w:rsidRDefault="002A18E7" w:rsidP="002A18E7">
      <w:pPr>
        <w:pBdr>
          <w:bottom w:val="single" w:sz="6" w:space="1" w:color="auto"/>
        </w:pBdr>
        <w:spacing w:after="0" w:line="240" w:lineRule="auto"/>
        <w:jc w:val="center"/>
        <w:rPr>
          <w:rFonts w:ascii="Arial" w:eastAsia="Times New Roman" w:hAnsi="Arial" w:cs="Arial"/>
          <w:vanish/>
          <w:sz w:val="16"/>
          <w:szCs w:val="16"/>
        </w:rPr>
      </w:pPr>
      <w:r w:rsidRPr="002A18E7">
        <w:rPr>
          <w:rFonts w:ascii="Arial" w:eastAsia="Times New Roman" w:hAnsi="Arial" w:cs="Arial"/>
          <w:vanish/>
          <w:sz w:val="16"/>
          <w:szCs w:val="16"/>
        </w:rPr>
        <w:t>Øverst på formularen</w:t>
      </w:r>
    </w:p>
    <w:p w:rsidR="002A18E7" w:rsidRPr="002A18E7" w:rsidRDefault="002A18E7" w:rsidP="002A18E7">
      <w:pPr>
        <w:spacing w:after="0" w:line="240" w:lineRule="auto"/>
        <w:rPr>
          <w:rFonts w:ascii="Arial" w:eastAsia="Times New Roman" w:hAnsi="Arial" w:cs="Arial"/>
          <w:sz w:val="11"/>
          <w:szCs w:val="11"/>
        </w:rPr>
      </w:pPr>
      <w:r w:rsidRPr="002A18E7">
        <w:rPr>
          <w:rFonts w:ascii="Arial" w:eastAsia="Times New Roman" w:hAnsi="Arial" w:cs="Arial"/>
          <w:sz w:val="11"/>
          <w:szCs w:val="1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1pt" o:ole="">
            <v:imagedata r:id="rId16" o:title=""/>
          </v:shape>
          <w:control r:id="rId17" w:name="DefaultOcxName" w:shapeid="_x0000_i1028"/>
        </w:object>
      </w:r>
    </w:p>
    <w:p w:rsidR="002A18E7" w:rsidRPr="002A18E7" w:rsidRDefault="002A18E7" w:rsidP="002A18E7">
      <w:pPr>
        <w:pBdr>
          <w:top w:val="single" w:sz="6" w:space="1" w:color="auto"/>
        </w:pBdr>
        <w:spacing w:after="0" w:line="240" w:lineRule="auto"/>
        <w:jc w:val="center"/>
        <w:rPr>
          <w:rFonts w:ascii="Arial" w:eastAsia="Times New Roman" w:hAnsi="Arial" w:cs="Arial"/>
          <w:vanish/>
          <w:sz w:val="16"/>
          <w:szCs w:val="16"/>
        </w:rPr>
      </w:pPr>
      <w:r w:rsidRPr="002A18E7">
        <w:rPr>
          <w:rFonts w:ascii="Arial" w:eastAsia="Times New Roman" w:hAnsi="Arial" w:cs="Arial"/>
          <w:vanish/>
          <w:sz w:val="16"/>
          <w:szCs w:val="16"/>
        </w:rPr>
        <w:t>Nederst på formularen</w:t>
      </w:r>
    </w:p>
    <w:p w:rsidR="007A5E05" w:rsidRDefault="007A5E05"/>
    <w:sectPr w:rsidR="007A5E05" w:rsidSect="007A5E0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8E7"/>
    <w:rsid w:val="002A18E7"/>
    <w:rsid w:val="005A5E0F"/>
    <w:rsid w:val="006E3827"/>
    <w:rsid w:val="007A5E05"/>
    <w:rsid w:val="00A75DB4"/>
    <w:rsid w:val="00C264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2A18E7"/>
    <w:pPr>
      <w:spacing w:after="0" w:line="278" w:lineRule="atLeast"/>
      <w:outlineLvl w:val="0"/>
    </w:pPr>
    <w:rPr>
      <w:rFonts w:ascii="Times New Roman" w:eastAsia="Times New Roman" w:hAnsi="Times New Roman" w:cs="Times New Roman"/>
      <w:b/>
      <w:bCs/>
      <w:color w:val="0033CC"/>
      <w:kern w:val="36"/>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A18E7"/>
    <w:rPr>
      <w:rFonts w:ascii="Times New Roman" w:eastAsia="Times New Roman" w:hAnsi="Times New Roman" w:cs="Times New Roman"/>
      <w:b/>
      <w:bCs/>
      <w:color w:val="0033CC"/>
      <w:kern w:val="36"/>
      <w:sz w:val="28"/>
      <w:szCs w:val="28"/>
      <w:lang w:eastAsia="da-DK"/>
    </w:rPr>
  </w:style>
  <w:style w:type="paragraph" w:styleId="NormalWeb">
    <w:name w:val="Normal (Web)"/>
    <w:basedOn w:val="Normal"/>
    <w:uiPriority w:val="99"/>
    <w:semiHidden/>
    <w:unhideWhenUsed/>
    <w:rsid w:val="002A18E7"/>
    <w:pPr>
      <w:spacing w:after="0" w:line="139" w:lineRule="atLeast"/>
    </w:pPr>
    <w:rPr>
      <w:rFonts w:ascii="Times New Roman" w:eastAsia="Times New Roman" w:hAnsi="Times New Roman" w:cs="Times New Roman"/>
      <w:color w:val="333333"/>
      <w:sz w:val="12"/>
      <w:szCs w:val="12"/>
    </w:rPr>
  </w:style>
  <w:style w:type="character" w:customStyle="1" w:styleId="highlight1">
    <w:name w:val="highlight1"/>
    <w:basedOn w:val="Standardskrifttypeiafsnit"/>
    <w:rsid w:val="002A18E7"/>
    <w:rPr>
      <w:shd w:val="clear" w:color="auto" w:fill="FFFF00"/>
    </w:rPr>
  </w:style>
  <w:style w:type="paragraph" w:styleId="z-verstiformularen">
    <w:name w:val="HTML Top of Form"/>
    <w:basedOn w:val="Normal"/>
    <w:next w:val="Normal"/>
    <w:link w:val="z-verstiformularenTegn"/>
    <w:hidden/>
    <w:uiPriority w:val="99"/>
    <w:semiHidden/>
    <w:unhideWhenUsed/>
    <w:rsid w:val="002A18E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verstiformularenTegn">
    <w:name w:val="z-Øverst i formularen Tegn"/>
    <w:basedOn w:val="Standardskrifttypeiafsnit"/>
    <w:link w:val="z-verstiformularen"/>
    <w:uiPriority w:val="99"/>
    <w:semiHidden/>
    <w:rsid w:val="002A18E7"/>
    <w:rPr>
      <w:rFonts w:ascii="Arial" w:eastAsia="Times New Roman" w:hAnsi="Arial" w:cs="Arial"/>
      <w:vanish/>
      <w:sz w:val="16"/>
      <w:szCs w:val="16"/>
      <w:lang w:eastAsia="da-DK"/>
    </w:rPr>
  </w:style>
  <w:style w:type="paragraph" w:styleId="z-Nederstiformularen">
    <w:name w:val="HTML Bottom of Form"/>
    <w:basedOn w:val="Normal"/>
    <w:next w:val="Normal"/>
    <w:link w:val="z-NederstiformularenTegn"/>
    <w:hidden/>
    <w:uiPriority w:val="99"/>
    <w:semiHidden/>
    <w:unhideWhenUsed/>
    <w:rsid w:val="002A18E7"/>
    <w:pPr>
      <w:pBdr>
        <w:top w:val="single" w:sz="6" w:space="1" w:color="auto"/>
      </w:pBdr>
      <w:spacing w:after="0" w:line="240" w:lineRule="auto"/>
      <w:jc w:val="center"/>
    </w:pPr>
    <w:rPr>
      <w:rFonts w:ascii="Arial" w:eastAsia="Times New Roman" w:hAnsi="Arial" w:cs="Arial"/>
      <w:vanish/>
      <w:sz w:val="16"/>
      <w:szCs w:val="16"/>
    </w:rPr>
  </w:style>
  <w:style w:type="character" w:customStyle="1" w:styleId="z-NederstiformularenTegn">
    <w:name w:val="z-Nederst i formularen Tegn"/>
    <w:basedOn w:val="Standardskrifttypeiafsnit"/>
    <w:link w:val="z-Nederstiformularen"/>
    <w:uiPriority w:val="99"/>
    <w:semiHidden/>
    <w:rsid w:val="002A18E7"/>
    <w:rPr>
      <w:rFonts w:ascii="Arial" w:eastAsia="Times New Roman" w:hAnsi="Arial" w:cs="Arial"/>
      <w:vanish/>
      <w:sz w:val="16"/>
      <w:szCs w:val="16"/>
      <w:lang w:eastAsia="da-DK"/>
    </w:rPr>
  </w:style>
  <w:style w:type="paragraph" w:styleId="Markeringsbobletekst">
    <w:name w:val="Balloon Text"/>
    <w:basedOn w:val="Normal"/>
    <w:link w:val="MarkeringsbobletekstTegn"/>
    <w:uiPriority w:val="99"/>
    <w:semiHidden/>
    <w:unhideWhenUsed/>
    <w:rsid w:val="002A18E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A18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2A18E7"/>
    <w:pPr>
      <w:spacing w:after="0" w:line="278" w:lineRule="atLeast"/>
      <w:outlineLvl w:val="0"/>
    </w:pPr>
    <w:rPr>
      <w:rFonts w:ascii="Times New Roman" w:eastAsia="Times New Roman" w:hAnsi="Times New Roman" w:cs="Times New Roman"/>
      <w:b/>
      <w:bCs/>
      <w:color w:val="0033CC"/>
      <w:kern w:val="36"/>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A18E7"/>
    <w:rPr>
      <w:rFonts w:ascii="Times New Roman" w:eastAsia="Times New Roman" w:hAnsi="Times New Roman" w:cs="Times New Roman"/>
      <w:b/>
      <w:bCs/>
      <w:color w:val="0033CC"/>
      <w:kern w:val="36"/>
      <w:sz w:val="28"/>
      <w:szCs w:val="28"/>
      <w:lang w:eastAsia="da-DK"/>
    </w:rPr>
  </w:style>
  <w:style w:type="paragraph" w:styleId="NormalWeb">
    <w:name w:val="Normal (Web)"/>
    <w:basedOn w:val="Normal"/>
    <w:uiPriority w:val="99"/>
    <w:semiHidden/>
    <w:unhideWhenUsed/>
    <w:rsid w:val="002A18E7"/>
    <w:pPr>
      <w:spacing w:after="0" w:line="139" w:lineRule="atLeast"/>
    </w:pPr>
    <w:rPr>
      <w:rFonts w:ascii="Times New Roman" w:eastAsia="Times New Roman" w:hAnsi="Times New Roman" w:cs="Times New Roman"/>
      <w:color w:val="333333"/>
      <w:sz w:val="12"/>
      <w:szCs w:val="12"/>
    </w:rPr>
  </w:style>
  <w:style w:type="character" w:customStyle="1" w:styleId="highlight1">
    <w:name w:val="highlight1"/>
    <w:basedOn w:val="Standardskrifttypeiafsnit"/>
    <w:rsid w:val="002A18E7"/>
    <w:rPr>
      <w:shd w:val="clear" w:color="auto" w:fill="FFFF00"/>
    </w:rPr>
  </w:style>
  <w:style w:type="paragraph" w:styleId="z-verstiformularen">
    <w:name w:val="HTML Top of Form"/>
    <w:basedOn w:val="Normal"/>
    <w:next w:val="Normal"/>
    <w:link w:val="z-verstiformularenTegn"/>
    <w:hidden/>
    <w:uiPriority w:val="99"/>
    <w:semiHidden/>
    <w:unhideWhenUsed/>
    <w:rsid w:val="002A18E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verstiformularenTegn">
    <w:name w:val="z-Øverst i formularen Tegn"/>
    <w:basedOn w:val="Standardskrifttypeiafsnit"/>
    <w:link w:val="z-verstiformularen"/>
    <w:uiPriority w:val="99"/>
    <w:semiHidden/>
    <w:rsid w:val="002A18E7"/>
    <w:rPr>
      <w:rFonts w:ascii="Arial" w:eastAsia="Times New Roman" w:hAnsi="Arial" w:cs="Arial"/>
      <w:vanish/>
      <w:sz w:val="16"/>
      <w:szCs w:val="16"/>
      <w:lang w:eastAsia="da-DK"/>
    </w:rPr>
  </w:style>
  <w:style w:type="paragraph" w:styleId="z-Nederstiformularen">
    <w:name w:val="HTML Bottom of Form"/>
    <w:basedOn w:val="Normal"/>
    <w:next w:val="Normal"/>
    <w:link w:val="z-NederstiformularenTegn"/>
    <w:hidden/>
    <w:uiPriority w:val="99"/>
    <w:semiHidden/>
    <w:unhideWhenUsed/>
    <w:rsid w:val="002A18E7"/>
    <w:pPr>
      <w:pBdr>
        <w:top w:val="single" w:sz="6" w:space="1" w:color="auto"/>
      </w:pBdr>
      <w:spacing w:after="0" w:line="240" w:lineRule="auto"/>
      <w:jc w:val="center"/>
    </w:pPr>
    <w:rPr>
      <w:rFonts w:ascii="Arial" w:eastAsia="Times New Roman" w:hAnsi="Arial" w:cs="Arial"/>
      <w:vanish/>
      <w:sz w:val="16"/>
      <w:szCs w:val="16"/>
    </w:rPr>
  </w:style>
  <w:style w:type="character" w:customStyle="1" w:styleId="z-NederstiformularenTegn">
    <w:name w:val="z-Nederst i formularen Tegn"/>
    <w:basedOn w:val="Standardskrifttypeiafsnit"/>
    <w:link w:val="z-Nederstiformularen"/>
    <w:uiPriority w:val="99"/>
    <w:semiHidden/>
    <w:rsid w:val="002A18E7"/>
    <w:rPr>
      <w:rFonts w:ascii="Arial" w:eastAsia="Times New Roman" w:hAnsi="Arial" w:cs="Arial"/>
      <w:vanish/>
      <w:sz w:val="16"/>
      <w:szCs w:val="16"/>
      <w:lang w:eastAsia="da-DK"/>
    </w:rPr>
  </w:style>
  <w:style w:type="paragraph" w:styleId="Markeringsbobletekst">
    <w:name w:val="Balloon Text"/>
    <w:basedOn w:val="Normal"/>
    <w:link w:val="MarkeringsbobletekstTegn"/>
    <w:uiPriority w:val="99"/>
    <w:semiHidden/>
    <w:unhideWhenUsed/>
    <w:rsid w:val="002A18E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A1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282125">
      <w:bodyDiv w:val="1"/>
      <w:marLeft w:val="0"/>
      <w:marRight w:val="0"/>
      <w:marTop w:val="0"/>
      <w:marBottom w:val="0"/>
      <w:divBdr>
        <w:top w:val="none" w:sz="0" w:space="0" w:color="auto"/>
        <w:left w:val="none" w:sz="0" w:space="0" w:color="auto"/>
        <w:bottom w:val="none" w:sz="0" w:space="0" w:color="auto"/>
        <w:right w:val="none" w:sz="0" w:space="0" w:color="auto"/>
      </w:divBdr>
      <w:divsChild>
        <w:div w:id="1387560175">
          <w:marLeft w:val="0"/>
          <w:marRight w:val="0"/>
          <w:marTop w:val="0"/>
          <w:marBottom w:val="0"/>
          <w:divBdr>
            <w:top w:val="none" w:sz="0" w:space="0" w:color="auto"/>
            <w:left w:val="none" w:sz="0" w:space="0" w:color="auto"/>
            <w:bottom w:val="none" w:sz="0" w:space="0" w:color="auto"/>
            <w:right w:val="none" w:sz="0" w:space="0" w:color="auto"/>
          </w:divBdr>
        </w:div>
        <w:div w:id="1713767680">
          <w:marLeft w:val="0"/>
          <w:marRight w:val="0"/>
          <w:marTop w:val="0"/>
          <w:marBottom w:val="0"/>
          <w:divBdr>
            <w:top w:val="none" w:sz="0" w:space="0" w:color="auto"/>
            <w:left w:val="none" w:sz="0" w:space="0" w:color="auto"/>
            <w:bottom w:val="none" w:sz="0" w:space="0" w:color="auto"/>
            <w:right w:val="none" w:sz="0" w:space="0" w:color="auto"/>
          </w:divBdr>
        </w:div>
        <w:div w:id="1155074696">
          <w:marLeft w:val="0"/>
          <w:marRight w:val="0"/>
          <w:marTop w:val="99"/>
          <w:marBottom w:val="0"/>
          <w:divBdr>
            <w:top w:val="none" w:sz="0" w:space="0" w:color="auto"/>
            <w:left w:val="none" w:sz="0" w:space="0" w:color="auto"/>
            <w:bottom w:val="none" w:sz="0" w:space="0" w:color="auto"/>
            <w:right w:val="none" w:sz="0" w:space="0" w:color="auto"/>
          </w:divBdr>
          <w:divsChild>
            <w:div w:id="1401563107">
              <w:marLeft w:val="0"/>
              <w:marRight w:val="0"/>
              <w:marTop w:val="397"/>
              <w:marBottom w:val="397"/>
              <w:divBdr>
                <w:top w:val="none" w:sz="0" w:space="0" w:color="auto"/>
                <w:left w:val="none" w:sz="0" w:space="0" w:color="auto"/>
                <w:bottom w:val="none" w:sz="0" w:space="0" w:color="auto"/>
                <w:right w:val="none" w:sz="0" w:space="0" w:color="auto"/>
              </w:divBdr>
            </w:div>
          </w:divsChild>
        </w:div>
        <w:div w:id="6561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decreaseFont()" TargetMode="Externa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javascript:resetFont()" TargetMode="External"/><Relationship Id="rId17" Type="http://schemas.openxmlformats.org/officeDocument/2006/relationships/control" Target="activeX/activeX1.xml"/><Relationship Id="rId2" Type="http://schemas.microsoft.com/office/2007/relationships/stylesWithEffects" Target="stylesWithEffects.xml"/><Relationship Id="rId16" Type="http://schemas.openxmlformats.org/officeDocument/2006/relationships/image" Target="media/image8.wm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hyperlink" Target="javascript:void(0)" TargetMode="External"/><Relationship Id="rId15" Type="http://schemas.openxmlformats.org/officeDocument/2006/relationships/image" Target="media/image7.gif"/><Relationship Id="rId10" Type="http://schemas.openxmlformats.org/officeDocument/2006/relationships/hyperlink" Target="javascript:increaseFo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3952</Words>
  <Characters>24113</Characters>
  <Application>Microsoft Office Word</Application>
  <DocSecurity>4</DocSecurity>
  <Lines>200</Lines>
  <Paragraphs>56</Paragraphs>
  <ScaleCrop>false</ScaleCrop>
  <Company>Institut for Statskundskab</Company>
  <LinksUpToDate>false</LinksUpToDate>
  <CharactersWithSpaces>28009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Flemmingjuul</dc:creator>
  <cp:lastModifiedBy>fjc</cp:lastModifiedBy>
  <cp:revision>2</cp:revision>
  <dcterms:created xsi:type="dcterms:W3CDTF">2016-08-02T09:07:00Z</dcterms:created>
  <dcterms:modified xsi:type="dcterms:W3CDTF">2016-08-02T09:07:00Z</dcterms:modified>
</cp:coreProperties>
</file>