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6A09" w14:textId="77777777" w:rsidR="00313862" w:rsidRDefault="00313862" w:rsidP="00313862">
      <w:pPr>
        <w:pStyle w:val="Heading1"/>
        <w:jc w:val="center"/>
      </w:pPr>
    </w:p>
    <w:p w14:paraId="27931185" w14:textId="77777777" w:rsidR="00313862" w:rsidRDefault="00313862" w:rsidP="00313862">
      <w:pPr>
        <w:pStyle w:val="Heading1"/>
        <w:jc w:val="center"/>
      </w:pPr>
    </w:p>
    <w:p w14:paraId="25E7F147" w14:textId="77777777" w:rsidR="00313862" w:rsidRDefault="00313862" w:rsidP="00313862">
      <w:pPr>
        <w:pStyle w:val="Heading1"/>
        <w:jc w:val="center"/>
      </w:pPr>
    </w:p>
    <w:p w14:paraId="3C229319" w14:textId="77777777" w:rsidR="00313862" w:rsidRPr="005D2F56" w:rsidRDefault="00313862" w:rsidP="00313862">
      <w:pPr>
        <w:pStyle w:val="Heading1"/>
        <w:jc w:val="center"/>
        <w:rPr>
          <w:rFonts w:ascii="Times New Roman" w:hAnsi="Times New Roman" w:cs="Times New Roman"/>
        </w:rPr>
      </w:pPr>
    </w:p>
    <w:p w14:paraId="4DFE7A3D" w14:textId="77777777" w:rsidR="00313862" w:rsidRPr="005D2F56" w:rsidRDefault="00313862" w:rsidP="00313862">
      <w:pPr>
        <w:pStyle w:val="Heading1"/>
        <w:jc w:val="center"/>
        <w:rPr>
          <w:rFonts w:ascii="Times New Roman" w:hAnsi="Times New Roman" w:cs="Times New Roman"/>
        </w:rPr>
      </w:pPr>
    </w:p>
    <w:p w14:paraId="55CA79DD" w14:textId="1571E8D9" w:rsidR="00313862" w:rsidRPr="005D2F56" w:rsidRDefault="00313862" w:rsidP="00313862">
      <w:pPr>
        <w:pStyle w:val="Heading1"/>
        <w:jc w:val="center"/>
        <w:rPr>
          <w:rFonts w:ascii="Times New Roman" w:hAnsi="Times New Roman" w:cs="Times New Roman"/>
          <w:sz w:val="96"/>
          <w:szCs w:val="96"/>
        </w:rPr>
      </w:pPr>
      <w:r w:rsidRPr="005D2F56">
        <w:rPr>
          <w:rFonts w:ascii="Times New Roman" w:hAnsi="Times New Roman" w:cs="Times New Roman"/>
          <w:sz w:val="96"/>
          <w:szCs w:val="96"/>
        </w:rPr>
        <w:t>HMDA 2023</w:t>
      </w:r>
    </w:p>
    <w:p w14:paraId="309BA282" w14:textId="0899CE8C" w:rsidR="00313862" w:rsidRPr="005D2F56" w:rsidRDefault="00313862" w:rsidP="00313862">
      <w:pPr>
        <w:pStyle w:val="Heading2"/>
        <w:jc w:val="center"/>
        <w:rPr>
          <w:rFonts w:ascii="Times New Roman" w:hAnsi="Times New Roman" w:cs="Times New Roman"/>
          <w:sz w:val="40"/>
          <w:szCs w:val="40"/>
        </w:rPr>
      </w:pPr>
      <w:r w:rsidRPr="005D2F56">
        <w:rPr>
          <w:rFonts w:ascii="Times New Roman" w:hAnsi="Times New Roman" w:cs="Times New Roman"/>
          <w:sz w:val="40"/>
          <w:szCs w:val="40"/>
        </w:rPr>
        <w:t>Home Loan Approval Prediction</w:t>
      </w:r>
    </w:p>
    <w:p w14:paraId="76E5BEB2" w14:textId="257DD3B5" w:rsidR="00313862" w:rsidRPr="005D2F56" w:rsidRDefault="00313862" w:rsidP="00313862">
      <w:pPr>
        <w:jc w:val="center"/>
        <w:rPr>
          <w:rFonts w:ascii="Times New Roman" w:hAnsi="Times New Roman" w:cs="Times New Roman"/>
        </w:rPr>
      </w:pPr>
      <w:r w:rsidRPr="005D2F56">
        <w:rPr>
          <w:rFonts w:ascii="Times New Roman" w:hAnsi="Times New Roman" w:cs="Times New Roman"/>
        </w:rPr>
        <w:t>Analysis Report | Data Source: CFPB HMDA Data Browser</w:t>
      </w:r>
    </w:p>
    <w:p w14:paraId="590B1CC2" w14:textId="77777777" w:rsidR="00313862" w:rsidRPr="005D2F56" w:rsidRDefault="00313862" w:rsidP="00313862">
      <w:pPr>
        <w:jc w:val="center"/>
        <w:rPr>
          <w:rFonts w:ascii="Times New Roman" w:hAnsi="Times New Roman" w:cs="Times New Roman"/>
        </w:rPr>
      </w:pPr>
    </w:p>
    <w:p w14:paraId="3336B34E" w14:textId="77777777" w:rsidR="00313862" w:rsidRPr="005D2F56" w:rsidRDefault="00313862" w:rsidP="00313862">
      <w:pPr>
        <w:jc w:val="center"/>
        <w:rPr>
          <w:rFonts w:ascii="Times New Roman" w:hAnsi="Times New Roman" w:cs="Times New Roman"/>
        </w:rPr>
      </w:pPr>
    </w:p>
    <w:p w14:paraId="3D67F373" w14:textId="77777777" w:rsidR="00313862" w:rsidRPr="005D2F56" w:rsidRDefault="00313862" w:rsidP="00313862">
      <w:pPr>
        <w:jc w:val="center"/>
        <w:rPr>
          <w:rFonts w:ascii="Times New Roman" w:hAnsi="Times New Roman" w:cs="Times New Roman"/>
        </w:rPr>
      </w:pPr>
    </w:p>
    <w:p w14:paraId="2E6E687C" w14:textId="77777777" w:rsidR="00313862" w:rsidRPr="005D2F56" w:rsidRDefault="00313862" w:rsidP="00313862">
      <w:pPr>
        <w:jc w:val="center"/>
        <w:rPr>
          <w:rFonts w:ascii="Times New Roman" w:hAnsi="Times New Roman" w:cs="Times New Roman"/>
        </w:rPr>
      </w:pPr>
    </w:p>
    <w:p w14:paraId="2E79BEBE" w14:textId="77777777" w:rsidR="00313862" w:rsidRPr="005D2F56" w:rsidRDefault="00313862" w:rsidP="00313862">
      <w:pPr>
        <w:jc w:val="center"/>
        <w:rPr>
          <w:rFonts w:ascii="Times New Roman" w:hAnsi="Times New Roman" w:cs="Times New Roman"/>
        </w:rPr>
      </w:pPr>
    </w:p>
    <w:p w14:paraId="3B0DF568" w14:textId="77777777" w:rsidR="00313862" w:rsidRPr="005D2F56" w:rsidRDefault="00313862" w:rsidP="00313862">
      <w:pPr>
        <w:jc w:val="center"/>
        <w:rPr>
          <w:rFonts w:ascii="Times New Roman" w:hAnsi="Times New Roman" w:cs="Times New Roman"/>
        </w:rPr>
      </w:pPr>
    </w:p>
    <w:p w14:paraId="24B50AD5" w14:textId="77777777" w:rsidR="00313862" w:rsidRPr="005D2F56" w:rsidRDefault="00313862" w:rsidP="00313862">
      <w:pPr>
        <w:jc w:val="center"/>
        <w:rPr>
          <w:rFonts w:ascii="Times New Roman" w:hAnsi="Times New Roman" w:cs="Times New Roman"/>
        </w:rPr>
      </w:pPr>
    </w:p>
    <w:p w14:paraId="0B665756" w14:textId="77777777" w:rsidR="00313862" w:rsidRPr="005D2F56" w:rsidRDefault="00313862" w:rsidP="00313862">
      <w:pPr>
        <w:jc w:val="center"/>
        <w:rPr>
          <w:rFonts w:ascii="Times New Roman" w:hAnsi="Times New Roman" w:cs="Times New Roman"/>
        </w:rPr>
      </w:pPr>
    </w:p>
    <w:p w14:paraId="2AE86A89" w14:textId="77777777" w:rsidR="00313862" w:rsidRPr="005D2F56" w:rsidRDefault="00313862" w:rsidP="00313862">
      <w:pPr>
        <w:jc w:val="center"/>
        <w:rPr>
          <w:rFonts w:ascii="Times New Roman" w:hAnsi="Times New Roman" w:cs="Times New Roman"/>
        </w:rPr>
      </w:pPr>
    </w:p>
    <w:p w14:paraId="42BBDF25" w14:textId="77777777" w:rsidR="00313862" w:rsidRPr="005D2F56" w:rsidRDefault="00313862" w:rsidP="00313862">
      <w:pPr>
        <w:jc w:val="center"/>
        <w:rPr>
          <w:rFonts w:ascii="Times New Roman" w:hAnsi="Times New Roman" w:cs="Times New Roman"/>
        </w:rPr>
      </w:pPr>
    </w:p>
    <w:p w14:paraId="240C394C" w14:textId="77777777" w:rsidR="00313862" w:rsidRPr="005D2F56" w:rsidRDefault="00313862" w:rsidP="00313862">
      <w:pPr>
        <w:jc w:val="center"/>
        <w:rPr>
          <w:rFonts w:ascii="Times New Roman" w:hAnsi="Times New Roman" w:cs="Times New Roman"/>
        </w:rPr>
      </w:pPr>
    </w:p>
    <w:p w14:paraId="659F8358" w14:textId="486C050F" w:rsidR="00313862" w:rsidRPr="005D2F56" w:rsidRDefault="00313862" w:rsidP="00313862">
      <w:pPr>
        <w:pStyle w:val="Heading2"/>
        <w:rPr>
          <w:rFonts w:ascii="Times New Roman" w:hAnsi="Times New Roman" w:cs="Times New Roman"/>
        </w:rPr>
      </w:pPr>
      <w:r w:rsidRPr="005D2F56">
        <w:rPr>
          <w:rFonts w:ascii="Times New Roman" w:hAnsi="Times New Roman" w:cs="Times New Roman"/>
        </w:rPr>
        <w:lastRenderedPageBreak/>
        <w:t>Overview</w:t>
      </w:r>
    </w:p>
    <w:p w14:paraId="2320828D" w14:textId="20609D95" w:rsidR="00313862" w:rsidRPr="005D2F56" w:rsidRDefault="00313862" w:rsidP="00313862">
      <w:pPr>
        <w:rPr>
          <w:rFonts w:ascii="Times New Roman" w:hAnsi="Times New Roman" w:cs="Times New Roman"/>
        </w:rPr>
      </w:pPr>
      <w:r w:rsidRPr="005D2F56">
        <w:rPr>
          <w:rFonts w:ascii="Times New Roman" w:hAnsi="Times New Roman" w:cs="Times New Roman"/>
        </w:rPr>
        <w:t>This report presents findings from a machine learning analysis of 4,254,263 real U.S. home purchase loan applications from the 2023 Home Mortgage Disclosure Act (HMDA) dataset, published by the Consumer Financial Protection Bureau (CFPB). Unlike synthetic datasets, HMDA data is legally mandated</w:t>
      </w:r>
      <w:r w:rsidRPr="005D2F56">
        <w:rPr>
          <w:rFonts w:ascii="Times New Roman" w:hAnsi="Times New Roman" w:cs="Times New Roman"/>
        </w:rPr>
        <w:t>,</w:t>
      </w:r>
      <w:r w:rsidRPr="005D2F56">
        <w:rPr>
          <w:rFonts w:ascii="Times New Roman" w:hAnsi="Times New Roman" w:cs="Times New Roman"/>
        </w:rPr>
        <w:t xml:space="preserve"> every lender in the United States must report every mortgage application, making it one of the most comprehensive and reliable sources of lending data available. </w:t>
      </w:r>
    </w:p>
    <w:p w14:paraId="13A26A11" w14:textId="77777777" w:rsidR="00313862" w:rsidRPr="005D2F56" w:rsidRDefault="00313862" w:rsidP="00313862">
      <w:pPr>
        <w:rPr>
          <w:rFonts w:ascii="Times New Roman" w:hAnsi="Times New Roman" w:cs="Times New Roman"/>
        </w:rPr>
      </w:pPr>
      <w:r w:rsidRPr="005D2F56">
        <w:rPr>
          <w:rFonts w:ascii="Times New Roman" w:hAnsi="Times New Roman" w:cs="Times New Roman"/>
          <w:b/>
          <w:bCs/>
        </w:rPr>
        <w:t>Research question:</w:t>
      </w:r>
      <w:r w:rsidRPr="005D2F56">
        <w:rPr>
          <w:rFonts w:ascii="Times New Roman" w:hAnsi="Times New Roman" w:cs="Times New Roman"/>
        </w:rPr>
        <w:t xml:space="preserve"> Can machine learning accurately predict home loan approval decisions using applicant financial and demographic data reported under HMDA? </w:t>
      </w:r>
    </w:p>
    <w:p w14:paraId="0599E13F" w14:textId="313D318B" w:rsidR="00313862" w:rsidRPr="005D2F56" w:rsidRDefault="00313862" w:rsidP="00313862">
      <w:pPr>
        <w:rPr>
          <w:rFonts w:ascii="Times New Roman" w:hAnsi="Times New Roman" w:cs="Times New Roman"/>
        </w:rPr>
      </w:pPr>
      <w:r w:rsidRPr="005D2F56">
        <w:rPr>
          <w:rFonts w:ascii="Times New Roman" w:hAnsi="Times New Roman" w:cs="Times New Roman"/>
          <w:b/>
          <w:bCs/>
        </w:rPr>
        <w:t>Target audience:</w:t>
      </w:r>
      <w:r w:rsidRPr="005D2F56">
        <w:rPr>
          <w:rFonts w:ascii="Times New Roman" w:hAnsi="Times New Roman" w:cs="Times New Roman"/>
        </w:rPr>
        <w:t xml:space="preserve"> Fair lending compliance teams and regulators who monitor whether denial decisions correlate with protected characteristics such as race, sex, or ethnicity.</w:t>
      </w:r>
    </w:p>
    <w:p w14:paraId="37071057" w14:textId="77777777" w:rsidR="00313862" w:rsidRPr="005D2F56" w:rsidRDefault="00313862" w:rsidP="00313862">
      <w:pPr>
        <w:pStyle w:val="Heading2"/>
        <w:rPr>
          <w:rFonts w:ascii="Times New Roman" w:hAnsi="Times New Roman" w:cs="Times New Roman"/>
        </w:rPr>
      </w:pPr>
      <w:r w:rsidRPr="005D2F56">
        <w:rPr>
          <w:rFonts w:ascii="Times New Roman" w:hAnsi="Times New Roman" w:cs="Times New Roman"/>
        </w:rPr>
        <w:t xml:space="preserve">Dataset </w:t>
      </w:r>
    </w:p>
    <w:p w14:paraId="3340842F" w14:textId="24C2C909" w:rsidR="00313862" w:rsidRPr="005D2F56" w:rsidRDefault="00313862" w:rsidP="00313862">
      <w:pPr>
        <w:rPr>
          <w:rFonts w:ascii="Times New Roman" w:hAnsi="Times New Roman" w:cs="Times New Roman"/>
        </w:rPr>
      </w:pPr>
      <w:r w:rsidRPr="005D2F56">
        <w:rPr>
          <w:rFonts w:ascii="Times New Roman" w:hAnsi="Times New Roman" w:cs="Times New Roman"/>
        </w:rPr>
        <w:t>The 2023 HMDA dataset contains 6,554,532 raw records across 99 columns. This analysis focuses on home purchase loans with a definitive outcome</w:t>
      </w:r>
      <w:r w:rsidRPr="005D2F56">
        <w:rPr>
          <w:rFonts w:ascii="Times New Roman" w:hAnsi="Times New Roman" w:cs="Times New Roman"/>
        </w:rPr>
        <w:t xml:space="preserve">, </w:t>
      </w:r>
      <w:r w:rsidRPr="005D2F56">
        <w:rPr>
          <w:rFonts w:ascii="Times New Roman" w:hAnsi="Times New Roman" w:cs="Times New Roman"/>
        </w:rPr>
        <w:t>originated (approved), approved but not accepted, or denied</w:t>
      </w:r>
      <w:r w:rsidRPr="005D2F56">
        <w:rPr>
          <w:rFonts w:ascii="Times New Roman" w:hAnsi="Times New Roman" w:cs="Times New Roman"/>
        </w:rPr>
        <w:t xml:space="preserve">, </w:t>
      </w:r>
      <w:r w:rsidRPr="005D2F56">
        <w:rPr>
          <w:rFonts w:ascii="Times New Roman" w:hAnsi="Times New Roman" w:cs="Times New Roman"/>
        </w:rPr>
        <w:t xml:space="preserve">resulting in 4,254,263 applications after filtering. </w:t>
      </w:r>
    </w:p>
    <w:p w14:paraId="3F074A12" w14:textId="77777777"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Total applications analyzed: 4,254,263 </w:t>
      </w:r>
    </w:p>
    <w:p w14:paraId="5194000A" w14:textId="1FED5B54"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Approved (label = 1): 3,614,911 — 85.0% of applications </w:t>
      </w:r>
    </w:p>
    <w:p w14:paraId="64F283C5" w14:textId="58596A8E"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Denied (label = 0): 639,352 — 15.0% of applications </w:t>
      </w:r>
    </w:p>
    <w:p w14:paraId="4FDFCCC0" w14:textId="5AA38CA0"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Features after engineering and encoding: 121</w:t>
      </w:r>
    </w:p>
    <w:p w14:paraId="4DE4225C" w14:textId="5A70E3B3"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Training set: 3,403,410 rows | Test set: 850,853 rows </w:t>
      </w:r>
    </w:p>
    <w:p w14:paraId="0EDF42A3" w14:textId="57BECDA5" w:rsidR="00313862" w:rsidRPr="005D2F56" w:rsidRDefault="00313862" w:rsidP="00313862">
      <w:pPr>
        <w:rPr>
          <w:rFonts w:ascii="Times New Roman" w:hAnsi="Times New Roman" w:cs="Times New Roman"/>
        </w:rPr>
      </w:pPr>
      <w:r w:rsidRPr="005D2F56">
        <w:rPr>
          <w:rFonts w:ascii="Times New Roman" w:hAnsi="Times New Roman" w:cs="Times New Roman"/>
        </w:rPr>
        <w:t xml:space="preserve">The 85/15 class imbalance was handled using </w:t>
      </w:r>
      <w:proofErr w:type="spellStart"/>
      <w:r w:rsidRPr="005D2F56">
        <w:rPr>
          <w:rFonts w:ascii="Times New Roman" w:hAnsi="Times New Roman" w:cs="Times New Roman"/>
        </w:rPr>
        <w:t>class_weight</w:t>
      </w:r>
      <w:proofErr w:type="spellEnd"/>
      <w:r w:rsidRPr="005D2F56">
        <w:rPr>
          <w:rFonts w:ascii="Times New Roman" w:hAnsi="Times New Roman" w:cs="Times New Roman"/>
        </w:rPr>
        <w:t>='balanced' across all three models, which up-weights denied applications during training without synthetic oversampling.</w:t>
      </w:r>
    </w:p>
    <w:p w14:paraId="0263709C" w14:textId="0C72CA50" w:rsidR="00313862" w:rsidRPr="005D2F56" w:rsidRDefault="00313862" w:rsidP="00313862">
      <w:pPr>
        <w:pStyle w:val="Heading2"/>
        <w:rPr>
          <w:rFonts w:ascii="Times New Roman" w:hAnsi="Times New Roman" w:cs="Times New Roman"/>
        </w:rPr>
      </w:pPr>
      <w:r w:rsidRPr="005D2F56">
        <w:rPr>
          <w:rFonts w:ascii="Times New Roman" w:hAnsi="Times New Roman" w:cs="Times New Roman"/>
        </w:rPr>
        <w:t xml:space="preserve">Methodology </w:t>
      </w:r>
    </w:p>
    <w:p w14:paraId="5ABAEFF0" w14:textId="77777777" w:rsidR="00313862" w:rsidRPr="005D2F56" w:rsidRDefault="00313862" w:rsidP="00313862">
      <w:pPr>
        <w:pStyle w:val="Heading3"/>
        <w:rPr>
          <w:rFonts w:ascii="Times New Roman" w:hAnsi="Times New Roman" w:cs="Times New Roman"/>
        </w:rPr>
      </w:pPr>
      <w:r w:rsidRPr="005D2F56">
        <w:rPr>
          <w:rFonts w:ascii="Times New Roman" w:hAnsi="Times New Roman" w:cs="Times New Roman"/>
        </w:rPr>
        <w:t xml:space="preserve">Feature Engineering </w:t>
      </w:r>
    </w:p>
    <w:p w14:paraId="70B6C96B" w14:textId="77777777" w:rsidR="00313862" w:rsidRPr="005D2F56" w:rsidRDefault="00313862" w:rsidP="00313862">
      <w:pPr>
        <w:rPr>
          <w:rFonts w:ascii="Times New Roman" w:hAnsi="Times New Roman" w:cs="Times New Roman"/>
        </w:rPr>
      </w:pPr>
      <w:r w:rsidRPr="005D2F56">
        <w:rPr>
          <w:rFonts w:ascii="Times New Roman" w:hAnsi="Times New Roman" w:cs="Times New Roman"/>
        </w:rPr>
        <w:t>Starting from 26 selected HMDA columns, the following features were engineered:</w:t>
      </w:r>
    </w:p>
    <w:p w14:paraId="2D5EFAB4" w14:textId="097D70E7" w:rsidR="00313862" w:rsidRPr="005D2F56" w:rsidRDefault="00313862" w:rsidP="00313862">
      <w:pPr>
        <w:pStyle w:val="ListParagraph"/>
        <w:numPr>
          <w:ilvl w:val="0"/>
          <w:numId w:val="2"/>
        </w:numPr>
        <w:rPr>
          <w:rFonts w:ascii="Times New Roman" w:hAnsi="Times New Roman" w:cs="Times New Roman"/>
        </w:rPr>
      </w:pPr>
      <w:proofErr w:type="spellStart"/>
      <w:r w:rsidRPr="005D2F56">
        <w:rPr>
          <w:rFonts w:ascii="Times New Roman" w:hAnsi="Times New Roman" w:cs="Times New Roman"/>
        </w:rPr>
        <w:t>income_to_loan_ratio</w:t>
      </w:r>
      <w:proofErr w:type="spellEnd"/>
      <w:r w:rsidRPr="005D2F56">
        <w:rPr>
          <w:rFonts w:ascii="Times New Roman" w:hAnsi="Times New Roman" w:cs="Times New Roman"/>
        </w:rPr>
        <w:t xml:space="preserve"> — applicant income divided by loan amount (core affordability signal) </w:t>
      </w:r>
    </w:p>
    <w:p w14:paraId="21942D31" w14:textId="219A2EE2" w:rsidR="00313862" w:rsidRPr="005D2F56" w:rsidRDefault="00313862" w:rsidP="00313862">
      <w:pPr>
        <w:pStyle w:val="ListParagraph"/>
        <w:numPr>
          <w:ilvl w:val="0"/>
          <w:numId w:val="2"/>
        </w:numPr>
        <w:rPr>
          <w:rFonts w:ascii="Times New Roman" w:hAnsi="Times New Roman" w:cs="Times New Roman"/>
        </w:rPr>
      </w:pPr>
      <w:proofErr w:type="spellStart"/>
      <w:r w:rsidRPr="005D2F56">
        <w:rPr>
          <w:rFonts w:ascii="Times New Roman" w:hAnsi="Times New Roman" w:cs="Times New Roman"/>
        </w:rPr>
        <w:t>equity_ratio</w:t>
      </w:r>
      <w:proofErr w:type="spellEnd"/>
      <w:r w:rsidRPr="005D2F56">
        <w:rPr>
          <w:rFonts w:ascii="Times New Roman" w:hAnsi="Times New Roman" w:cs="Times New Roman"/>
        </w:rPr>
        <w:t xml:space="preserve"> — (property value minus loan amount) divided by property value </w:t>
      </w:r>
    </w:p>
    <w:p w14:paraId="42FBCDA9" w14:textId="0ED55722"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Log transforms of loan amount, income, and property value to reduce right skew</w:t>
      </w:r>
    </w:p>
    <w:p w14:paraId="13110496" w14:textId="6B3CCEB5"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DTI encoding — plain integers kept as-is, bracket strings mapped to numeric midpoints </w:t>
      </w:r>
    </w:p>
    <w:p w14:paraId="335F1F9F" w14:textId="0FAD50F6"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Age brackets mapped to numeric midpoints (e.g. '35-44' becomes 39) </w:t>
      </w:r>
    </w:p>
    <w:p w14:paraId="561064C7" w14:textId="48AD4BFB"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10 categorical columns one-hot encoded: state, race, sex, ethnicity, loan type, lien status, occupancy, credit score type, submission method, and automated underwriting system (AUS) </w:t>
      </w:r>
    </w:p>
    <w:p w14:paraId="1A596CAB" w14:textId="77777777" w:rsidR="00313862" w:rsidRPr="005D2F56" w:rsidRDefault="00313862" w:rsidP="00313862">
      <w:pPr>
        <w:pStyle w:val="Heading3"/>
        <w:rPr>
          <w:rFonts w:ascii="Times New Roman" w:hAnsi="Times New Roman" w:cs="Times New Roman"/>
        </w:rPr>
      </w:pPr>
      <w:r w:rsidRPr="005D2F56">
        <w:rPr>
          <w:rFonts w:ascii="Times New Roman" w:hAnsi="Times New Roman" w:cs="Times New Roman"/>
        </w:rPr>
        <w:lastRenderedPageBreak/>
        <w:t xml:space="preserve">Models </w:t>
      </w:r>
    </w:p>
    <w:p w14:paraId="22C46C68" w14:textId="77777777" w:rsidR="00313862" w:rsidRPr="005D2F56" w:rsidRDefault="00313862" w:rsidP="00313862">
      <w:pPr>
        <w:rPr>
          <w:rFonts w:ascii="Times New Roman" w:hAnsi="Times New Roman" w:cs="Times New Roman"/>
        </w:rPr>
      </w:pPr>
      <w:r w:rsidRPr="005D2F56">
        <w:rPr>
          <w:rFonts w:ascii="Times New Roman" w:hAnsi="Times New Roman" w:cs="Times New Roman"/>
        </w:rPr>
        <w:t xml:space="preserve">Three models were trained and compared using 5-fold stratified cross-validation, ranked by ROC-AUC: </w:t>
      </w:r>
    </w:p>
    <w:p w14:paraId="10946830" w14:textId="5E773571"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Logistic Regression — interpretable linear baseline </w:t>
      </w:r>
    </w:p>
    <w:p w14:paraId="1327B7D4" w14:textId="0C3BCCB0" w:rsidR="00313862" w:rsidRPr="005D2F56" w:rsidRDefault="00313862" w:rsidP="00313862">
      <w:pPr>
        <w:pStyle w:val="ListParagraph"/>
        <w:numPr>
          <w:ilvl w:val="0"/>
          <w:numId w:val="2"/>
        </w:numPr>
        <w:rPr>
          <w:rFonts w:ascii="Times New Roman" w:hAnsi="Times New Roman" w:cs="Times New Roman"/>
        </w:rPr>
      </w:pPr>
      <w:r w:rsidRPr="005D2F56">
        <w:rPr>
          <w:rFonts w:ascii="Times New Roman" w:hAnsi="Times New Roman" w:cs="Times New Roman"/>
        </w:rPr>
        <w:t xml:space="preserve">Random Forest — 300-tree non-linear ensemble </w:t>
      </w:r>
    </w:p>
    <w:p w14:paraId="27551E94" w14:textId="52F76010" w:rsidR="00313862" w:rsidRPr="005D2F56" w:rsidRDefault="00313862" w:rsidP="00313862">
      <w:pPr>
        <w:pStyle w:val="ListParagraph"/>
        <w:numPr>
          <w:ilvl w:val="0"/>
          <w:numId w:val="2"/>
        </w:numPr>
        <w:rPr>
          <w:rFonts w:ascii="Times New Roman" w:hAnsi="Times New Roman" w:cs="Times New Roman"/>
        </w:rPr>
      </w:pPr>
      <w:proofErr w:type="spellStart"/>
      <w:r w:rsidRPr="005D2F56">
        <w:rPr>
          <w:rFonts w:ascii="Times New Roman" w:hAnsi="Times New Roman" w:cs="Times New Roman"/>
        </w:rPr>
        <w:t>XGBoost</w:t>
      </w:r>
      <w:proofErr w:type="spellEnd"/>
      <w:r w:rsidRPr="005D2F56">
        <w:rPr>
          <w:rFonts w:ascii="Times New Roman" w:hAnsi="Times New Roman" w:cs="Times New Roman"/>
        </w:rPr>
        <w:t xml:space="preserve"> — gradient boosting, selected as best mode</w:t>
      </w:r>
    </w:p>
    <w:p w14:paraId="3E8BCD74" w14:textId="581B0376" w:rsidR="00313862" w:rsidRPr="005D2F56" w:rsidRDefault="00313862" w:rsidP="00313862">
      <w:pPr>
        <w:pStyle w:val="Heading2"/>
        <w:rPr>
          <w:rFonts w:ascii="Times New Roman" w:hAnsi="Times New Roman" w:cs="Times New Roman"/>
        </w:rPr>
      </w:pPr>
      <w:r w:rsidRPr="005D2F56">
        <w:rPr>
          <w:rFonts w:ascii="Times New Roman" w:hAnsi="Times New Roman" w:cs="Times New Roman"/>
        </w:rPr>
        <w:t>Model Results</w:t>
      </w:r>
    </w:p>
    <w:p w14:paraId="5D4E0136" w14:textId="14915FB1" w:rsidR="00313862" w:rsidRPr="005D2F56" w:rsidRDefault="00313862" w:rsidP="00313862">
      <w:pPr>
        <w:rPr>
          <w:rFonts w:ascii="Times New Roman" w:hAnsi="Times New Roman" w:cs="Times New Roman"/>
        </w:rPr>
      </w:pPr>
      <w:proofErr w:type="spellStart"/>
      <w:r w:rsidRPr="005D2F56">
        <w:rPr>
          <w:rFonts w:ascii="Times New Roman" w:hAnsi="Times New Roman" w:cs="Times New Roman"/>
        </w:rPr>
        <w:t>XGBoost</w:t>
      </w:r>
      <w:proofErr w:type="spellEnd"/>
      <w:r w:rsidRPr="005D2F56">
        <w:rPr>
          <w:rFonts w:ascii="Times New Roman" w:hAnsi="Times New Roman" w:cs="Times New Roman"/>
        </w:rPr>
        <w:t xml:space="preserve"> achieved the best performance with a ROC-AUC of 0.9932 on 850,853 held-out test applications, significantly outperforming the Logistic Regression baseline across all metrics.</w:t>
      </w:r>
    </w:p>
    <w:tbl>
      <w:tblPr>
        <w:tblStyle w:val="PlainTable3"/>
        <w:tblW w:w="0" w:type="auto"/>
        <w:tblLook w:val="04A0" w:firstRow="1" w:lastRow="0" w:firstColumn="1" w:lastColumn="0" w:noHBand="0" w:noVBand="1"/>
      </w:tblPr>
      <w:tblGrid>
        <w:gridCol w:w="1790"/>
        <w:gridCol w:w="1614"/>
        <w:gridCol w:w="1494"/>
        <w:gridCol w:w="1820"/>
        <w:gridCol w:w="1365"/>
        <w:gridCol w:w="1277"/>
      </w:tblGrid>
      <w:tr w:rsidR="00313862" w:rsidRPr="005D2F56" w14:paraId="3F787F20" w14:textId="6605D8E1" w:rsidTr="00C630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tcPr>
          <w:p w14:paraId="5A5064E0" w14:textId="71A3C082" w:rsidR="00313862" w:rsidRPr="005D2F56" w:rsidRDefault="00313862" w:rsidP="00A72F2C">
            <w:pPr>
              <w:rPr>
                <w:rFonts w:ascii="Times New Roman" w:hAnsi="Times New Roman" w:cs="Times New Roman"/>
              </w:rPr>
            </w:pPr>
            <w:r w:rsidRPr="005D2F56">
              <w:rPr>
                <w:rFonts w:ascii="Times New Roman" w:hAnsi="Times New Roman" w:cs="Times New Roman"/>
              </w:rPr>
              <w:t xml:space="preserve"> Model </w:t>
            </w:r>
          </w:p>
        </w:tc>
        <w:tc>
          <w:tcPr>
            <w:tcW w:w="1620" w:type="dxa"/>
          </w:tcPr>
          <w:p w14:paraId="17C45246" w14:textId="659EA519" w:rsidR="00313862" w:rsidRPr="005D2F56" w:rsidRDefault="00D61AA3" w:rsidP="00A72F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Accuracy</w:t>
            </w:r>
          </w:p>
        </w:tc>
        <w:tc>
          <w:tcPr>
            <w:tcW w:w="1581" w:type="dxa"/>
          </w:tcPr>
          <w:p w14:paraId="3DF562CF" w14:textId="4BA104ED" w:rsidR="00313862" w:rsidRPr="005D2F56" w:rsidRDefault="00D61AA3" w:rsidP="00A72F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F1 (Denied)</w:t>
            </w:r>
          </w:p>
        </w:tc>
        <w:tc>
          <w:tcPr>
            <w:tcW w:w="1872" w:type="dxa"/>
          </w:tcPr>
          <w:p w14:paraId="593ACA87" w14:textId="359D7B2E" w:rsidR="00313862" w:rsidRPr="005D2F56" w:rsidRDefault="00D61AA3" w:rsidP="00A72F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F1 (Approved)</w:t>
            </w:r>
          </w:p>
        </w:tc>
        <w:tc>
          <w:tcPr>
            <w:tcW w:w="1466" w:type="dxa"/>
          </w:tcPr>
          <w:p w14:paraId="65ADF7C3" w14:textId="6AADDAC3" w:rsidR="00313862" w:rsidRPr="005D2F56" w:rsidRDefault="00D61AA3" w:rsidP="00A72F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F1 Macro</w:t>
            </w:r>
          </w:p>
        </w:tc>
        <w:tc>
          <w:tcPr>
            <w:tcW w:w="1466" w:type="dxa"/>
          </w:tcPr>
          <w:p w14:paraId="095E2C33" w14:textId="5F2494B0" w:rsidR="00313862" w:rsidRPr="005D2F56" w:rsidRDefault="00D61AA3" w:rsidP="00A72F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ROC-AUC</w:t>
            </w:r>
          </w:p>
        </w:tc>
      </w:tr>
      <w:tr w:rsidR="00D61AA3" w:rsidRPr="005D2F56" w14:paraId="0A6AAEF3" w14:textId="77777777" w:rsidTr="00C63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5082546" w14:textId="2B1C1E14" w:rsidR="00D61AA3" w:rsidRPr="005D2F56" w:rsidRDefault="00D61AA3" w:rsidP="00A72F2C">
            <w:pPr>
              <w:rPr>
                <w:rFonts w:ascii="Times New Roman" w:hAnsi="Times New Roman" w:cs="Times New Roman"/>
              </w:rPr>
            </w:pPr>
            <w:r w:rsidRPr="005D2F56">
              <w:rPr>
                <w:rFonts w:ascii="Times New Roman" w:hAnsi="Times New Roman" w:cs="Times New Roman"/>
              </w:rPr>
              <w:t>Logistic Regression</w:t>
            </w:r>
          </w:p>
        </w:tc>
        <w:tc>
          <w:tcPr>
            <w:tcW w:w="1620" w:type="dxa"/>
          </w:tcPr>
          <w:p w14:paraId="748A9DEE" w14:textId="4411B0D2"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78.80%</w:t>
            </w:r>
          </w:p>
        </w:tc>
        <w:tc>
          <w:tcPr>
            <w:tcW w:w="1581" w:type="dxa"/>
          </w:tcPr>
          <w:p w14:paraId="04D9B9D0" w14:textId="71ECBE00"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0.5007</w:t>
            </w:r>
          </w:p>
        </w:tc>
        <w:tc>
          <w:tcPr>
            <w:tcW w:w="1872" w:type="dxa"/>
          </w:tcPr>
          <w:p w14:paraId="2FBA07E7" w14:textId="64735F5E"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0.8654</w:t>
            </w:r>
          </w:p>
        </w:tc>
        <w:tc>
          <w:tcPr>
            <w:tcW w:w="1466" w:type="dxa"/>
          </w:tcPr>
          <w:p w14:paraId="0ECDEA42" w14:textId="52499917"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0.6831</w:t>
            </w:r>
          </w:p>
        </w:tc>
        <w:tc>
          <w:tcPr>
            <w:tcW w:w="1466" w:type="dxa"/>
          </w:tcPr>
          <w:p w14:paraId="0CA0A871" w14:textId="75BFCE90"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0.8270</w:t>
            </w:r>
          </w:p>
        </w:tc>
      </w:tr>
      <w:tr w:rsidR="00D61AA3" w:rsidRPr="005D2F56" w14:paraId="3D334089" w14:textId="77777777" w:rsidTr="00C630FA">
        <w:tc>
          <w:tcPr>
            <w:cnfStyle w:val="001000000000" w:firstRow="0" w:lastRow="0" w:firstColumn="1" w:lastColumn="0" w:oddVBand="0" w:evenVBand="0" w:oddHBand="0" w:evenHBand="0" w:firstRowFirstColumn="0" w:firstRowLastColumn="0" w:lastRowFirstColumn="0" w:lastRowLastColumn="0"/>
            <w:tcW w:w="1345" w:type="dxa"/>
          </w:tcPr>
          <w:p w14:paraId="7E9C7CB4" w14:textId="75528D57" w:rsidR="00D61AA3" w:rsidRPr="005D2F56" w:rsidRDefault="00D61AA3" w:rsidP="00A72F2C">
            <w:pPr>
              <w:rPr>
                <w:rFonts w:ascii="Times New Roman" w:hAnsi="Times New Roman" w:cs="Times New Roman"/>
              </w:rPr>
            </w:pPr>
            <w:r w:rsidRPr="005D2F56">
              <w:rPr>
                <w:rFonts w:ascii="Times New Roman" w:hAnsi="Times New Roman" w:cs="Times New Roman"/>
              </w:rPr>
              <w:t>Random Forest</w:t>
            </w:r>
          </w:p>
        </w:tc>
        <w:tc>
          <w:tcPr>
            <w:tcW w:w="1620" w:type="dxa"/>
          </w:tcPr>
          <w:p w14:paraId="5468F050" w14:textId="1DC50BA7" w:rsidR="00D61AA3" w:rsidRPr="005D2F56" w:rsidRDefault="00D61AA3" w:rsidP="00A72F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95.85%</w:t>
            </w:r>
          </w:p>
        </w:tc>
        <w:tc>
          <w:tcPr>
            <w:tcW w:w="1581" w:type="dxa"/>
          </w:tcPr>
          <w:p w14:paraId="58D80EB1" w14:textId="48106C46" w:rsidR="00D61AA3" w:rsidRPr="005D2F56" w:rsidRDefault="00D61AA3" w:rsidP="00A72F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0.8728</w:t>
            </w:r>
          </w:p>
        </w:tc>
        <w:tc>
          <w:tcPr>
            <w:tcW w:w="1872" w:type="dxa"/>
          </w:tcPr>
          <w:p w14:paraId="73B89023" w14:textId="7777C380" w:rsidR="00D61AA3" w:rsidRPr="005D2F56" w:rsidRDefault="00D61AA3" w:rsidP="00A72F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0.9752</w:t>
            </w:r>
          </w:p>
        </w:tc>
        <w:tc>
          <w:tcPr>
            <w:tcW w:w="1466" w:type="dxa"/>
          </w:tcPr>
          <w:p w14:paraId="0A7E87E1" w14:textId="30424960" w:rsidR="00D61AA3" w:rsidRPr="005D2F56" w:rsidRDefault="00D61AA3" w:rsidP="00A72F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0.9240</w:t>
            </w:r>
          </w:p>
        </w:tc>
        <w:tc>
          <w:tcPr>
            <w:tcW w:w="1466" w:type="dxa"/>
          </w:tcPr>
          <w:p w14:paraId="332F6B47" w14:textId="7645959C" w:rsidR="00D61AA3" w:rsidRPr="005D2F56" w:rsidRDefault="00D61AA3" w:rsidP="00A72F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0.9929</w:t>
            </w:r>
          </w:p>
        </w:tc>
      </w:tr>
      <w:tr w:rsidR="00D61AA3" w:rsidRPr="005D2F56" w14:paraId="34EC022D" w14:textId="77777777" w:rsidTr="00C63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8654D30" w14:textId="2AD06032" w:rsidR="00D61AA3" w:rsidRPr="005D2F56" w:rsidRDefault="00D61AA3" w:rsidP="00A72F2C">
            <w:pPr>
              <w:rPr>
                <w:rFonts w:ascii="Times New Roman" w:hAnsi="Times New Roman" w:cs="Times New Roman"/>
              </w:rPr>
            </w:pPr>
            <w:proofErr w:type="spellStart"/>
            <w:r w:rsidRPr="005D2F56">
              <w:rPr>
                <w:rFonts w:ascii="Times New Roman" w:hAnsi="Times New Roman" w:cs="Times New Roman"/>
              </w:rPr>
              <w:t>XGBoost</w:t>
            </w:r>
            <w:proofErr w:type="spellEnd"/>
            <w:r w:rsidRPr="005D2F56">
              <w:rPr>
                <w:rFonts w:ascii="Times New Roman" w:hAnsi="Times New Roman" w:cs="Times New Roman"/>
              </w:rPr>
              <w:t xml:space="preserve"> </w:t>
            </w:r>
          </w:p>
        </w:tc>
        <w:tc>
          <w:tcPr>
            <w:tcW w:w="1620" w:type="dxa"/>
          </w:tcPr>
          <w:p w14:paraId="414F1E5A" w14:textId="13DA53AC"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96.32%</w:t>
            </w:r>
          </w:p>
        </w:tc>
        <w:tc>
          <w:tcPr>
            <w:tcW w:w="1581" w:type="dxa"/>
          </w:tcPr>
          <w:p w14:paraId="134C3C76" w14:textId="49B0146F"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0.8767</w:t>
            </w:r>
          </w:p>
        </w:tc>
        <w:tc>
          <w:tcPr>
            <w:tcW w:w="1872" w:type="dxa"/>
          </w:tcPr>
          <w:p w14:paraId="6EB84591" w14:textId="6BB9AD30"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0.9784</w:t>
            </w:r>
          </w:p>
        </w:tc>
        <w:tc>
          <w:tcPr>
            <w:tcW w:w="1466" w:type="dxa"/>
          </w:tcPr>
          <w:p w14:paraId="2E51CF8D" w14:textId="25D79A77"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0.9275</w:t>
            </w:r>
          </w:p>
        </w:tc>
        <w:tc>
          <w:tcPr>
            <w:tcW w:w="1466" w:type="dxa"/>
          </w:tcPr>
          <w:p w14:paraId="13942214" w14:textId="014BEF69" w:rsidR="00D61AA3" w:rsidRPr="005D2F56" w:rsidRDefault="00D61AA3" w:rsidP="00A72F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D2F56">
              <w:rPr>
                <w:rFonts w:ascii="Times New Roman" w:hAnsi="Times New Roman" w:cs="Times New Roman"/>
              </w:rPr>
              <w:t>0.9932</w:t>
            </w:r>
          </w:p>
        </w:tc>
      </w:tr>
    </w:tbl>
    <w:p w14:paraId="78833C52" w14:textId="7CC5A0C2" w:rsidR="00313862" w:rsidRPr="005D2F56" w:rsidRDefault="00313862" w:rsidP="00C630FA">
      <w:pPr>
        <w:jc w:val="center"/>
        <w:rPr>
          <w:rFonts w:ascii="Times New Roman" w:hAnsi="Times New Roman" w:cs="Times New Roman"/>
          <w:i/>
          <w:iCs/>
          <w:sz w:val="22"/>
          <w:szCs w:val="22"/>
        </w:rPr>
      </w:pPr>
      <w:r w:rsidRPr="005D2F56">
        <w:rPr>
          <w:rFonts w:ascii="Times New Roman" w:hAnsi="Times New Roman" w:cs="Times New Roman"/>
          <w:i/>
          <w:iCs/>
          <w:sz w:val="22"/>
          <w:szCs w:val="22"/>
        </w:rPr>
        <w:t>Table 1. Test set performance for all three models. Values sourced directly from model_comparison.csv</w:t>
      </w:r>
    </w:p>
    <w:p w14:paraId="723ED7F9" w14:textId="77777777" w:rsidR="00C630FA" w:rsidRPr="005D2F56" w:rsidRDefault="00C630FA" w:rsidP="00C630FA">
      <w:pPr>
        <w:jc w:val="center"/>
        <w:rPr>
          <w:rFonts w:ascii="Times New Roman" w:hAnsi="Times New Roman" w:cs="Times New Roman"/>
          <w:i/>
          <w:iCs/>
          <w:sz w:val="22"/>
          <w:szCs w:val="22"/>
        </w:rPr>
      </w:pPr>
    </w:p>
    <w:p w14:paraId="0348FE19" w14:textId="77E60EA8" w:rsidR="00C630FA" w:rsidRPr="005D2F56" w:rsidRDefault="00C630FA" w:rsidP="00C630FA">
      <w:pPr>
        <w:rPr>
          <w:rFonts w:ascii="Times New Roman" w:hAnsi="Times New Roman" w:cs="Times New Roman"/>
          <w:i/>
          <w:iCs/>
        </w:rPr>
      </w:pPr>
      <w:r w:rsidRPr="005D2F56">
        <w:rPr>
          <w:rFonts w:ascii="Times New Roman" w:hAnsi="Times New Roman" w:cs="Times New Roman"/>
          <w:i/>
          <w:iCs/>
          <w:noProof/>
        </w:rPr>
        <w:drawing>
          <wp:inline distT="0" distB="0" distL="0" distR="0" wp14:anchorId="0BC931AB" wp14:editId="165CDA45">
            <wp:extent cx="6548585" cy="1804524"/>
            <wp:effectExtent l="0" t="0" r="5080" b="5715"/>
            <wp:docPr id="105986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77628" cy="1812527"/>
                    </a:xfrm>
                    <a:prstGeom prst="rect">
                      <a:avLst/>
                    </a:prstGeom>
                    <a:noFill/>
                    <a:ln>
                      <a:noFill/>
                    </a:ln>
                  </pic:spPr>
                </pic:pic>
              </a:graphicData>
            </a:graphic>
          </wp:inline>
        </w:drawing>
      </w:r>
    </w:p>
    <w:p w14:paraId="71D24209" w14:textId="0813E511" w:rsidR="00C630FA" w:rsidRPr="005D2F56" w:rsidRDefault="00C630FA" w:rsidP="00C630FA">
      <w:pPr>
        <w:jc w:val="center"/>
        <w:rPr>
          <w:rFonts w:ascii="Times New Roman" w:hAnsi="Times New Roman" w:cs="Times New Roman"/>
          <w:i/>
          <w:iCs/>
          <w:sz w:val="22"/>
          <w:szCs w:val="22"/>
        </w:rPr>
      </w:pPr>
      <w:r w:rsidRPr="005D2F56">
        <w:rPr>
          <w:rFonts w:ascii="Times New Roman" w:hAnsi="Times New Roman" w:cs="Times New Roman"/>
          <w:i/>
          <w:iCs/>
          <w:sz w:val="22"/>
          <w:szCs w:val="22"/>
        </w:rPr>
        <w:t xml:space="preserve">Figure 1. Confusion matrices on the </w:t>
      </w:r>
      <w:proofErr w:type="gramStart"/>
      <w:r w:rsidRPr="005D2F56">
        <w:rPr>
          <w:rFonts w:ascii="Times New Roman" w:hAnsi="Times New Roman" w:cs="Times New Roman"/>
          <w:i/>
          <w:iCs/>
          <w:sz w:val="22"/>
          <w:szCs w:val="22"/>
        </w:rPr>
        <w:t>850,853 test</w:t>
      </w:r>
      <w:proofErr w:type="gramEnd"/>
      <w:r w:rsidRPr="005D2F56">
        <w:rPr>
          <w:rFonts w:ascii="Times New Roman" w:hAnsi="Times New Roman" w:cs="Times New Roman"/>
          <w:i/>
          <w:iCs/>
          <w:sz w:val="22"/>
          <w:szCs w:val="22"/>
        </w:rPr>
        <w:t xml:space="preserve"> set. </w:t>
      </w:r>
      <w:proofErr w:type="spellStart"/>
      <w:r w:rsidRPr="005D2F56">
        <w:rPr>
          <w:rFonts w:ascii="Times New Roman" w:hAnsi="Times New Roman" w:cs="Times New Roman"/>
          <w:i/>
          <w:iCs/>
          <w:sz w:val="22"/>
          <w:szCs w:val="22"/>
        </w:rPr>
        <w:t>XGBoost</w:t>
      </w:r>
      <w:proofErr w:type="spellEnd"/>
      <w:r w:rsidRPr="005D2F56">
        <w:rPr>
          <w:rFonts w:ascii="Times New Roman" w:hAnsi="Times New Roman" w:cs="Times New Roman"/>
          <w:i/>
          <w:iCs/>
          <w:sz w:val="22"/>
          <w:szCs w:val="22"/>
        </w:rPr>
        <w:t xml:space="preserve"> correctly identifies 87% of denied applications with only 2% false negatives on approved loans.</w:t>
      </w:r>
    </w:p>
    <w:p w14:paraId="72FD9F8E" w14:textId="53767FD6" w:rsidR="00C630FA" w:rsidRPr="005D2F56" w:rsidRDefault="00C630FA" w:rsidP="00C630FA">
      <w:pPr>
        <w:jc w:val="center"/>
        <w:rPr>
          <w:rFonts w:ascii="Times New Roman" w:hAnsi="Times New Roman" w:cs="Times New Roman"/>
          <w:i/>
          <w:iCs/>
          <w:sz w:val="22"/>
          <w:szCs w:val="22"/>
        </w:rPr>
      </w:pPr>
      <w:r w:rsidRPr="005D2F56">
        <w:rPr>
          <w:rFonts w:ascii="Times New Roman" w:hAnsi="Times New Roman" w:cs="Times New Roman"/>
          <w:i/>
          <w:iCs/>
          <w:noProof/>
          <w:sz w:val="22"/>
          <w:szCs w:val="22"/>
        </w:rPr>
        <w:lastRenderedPageBreak/>
        <w:drawing>
          <wp:inline distT="0" distB="0" distL="0" distR="0" wp14:anchorId="42F11C28" wp14:editId="11461498">
            <wp:extent cx="4288779" cy="3651927"/>
            <wp:effectExtent l="0" t="0" r="0" b="5715"/>
            <wp:docPr id="1859156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4276" cy="3673638"/>
                    </a:xfrm>
                    <a:prstGeom prst="rect">
                      <a:avLst/>
                    </a:prstGeom>
                    <a:noFill/>
                    <a:ln>
                      <a:noFill/>
                    </a:ln>
                  </pic:spPr>
                </pic:pic>
              </a:graphicData>
            </a:graphic>
          </wp:inline>
        </w:drawing>
      </w:r>
    </w:p>
    <w:p w14:paraId="76FE6128" w14:textId="6FE7CE7E" w:rsidR="00C630FA" w:rsidRPr="005D2F56" w:rsidRDefault="00C630FA" w:rsidP="00C630FA">
      <w:pPr>
        <w:jc w:val="center"/>
        <w:rPr>
          <w:rFonts w:ascii="Times New Roman" w:hAnsi="Times New Roman" w:cs="Times New Roman"/>
          <w:i/>
          <w:iCs/>
          <w:sz w:val="22"/>
          <w:szCs w:val="22"/>
        </w:rPr>
      </w:pPr>
      <w:r w:rsidRPr="005D2F56">
        <w:rPr>
          <w:rFonts w:ascii="Times New Roman" w:hAnsi="Times New Roman" w:cs="Times New Roman"/>
          <w:i/>
          <w:iCs/>
          <w:sz w:val="22"/>
          <w:szCs w:val="22"/>
        </w:rPr>
        <w:t xml:space="preserve">Figure 2. ROC curves for all three models. Random Forest and </w:t>
      </w:r>
      <w:proofErr w:type="spellStart"/>
      <w:r w:rsidRPr="005D2F56">
        <w:rPr>
          <w:rFonts w:ascii="Times New Roman" w:hAnsi="Times New Roman" w:cs="Times New Roman"/>
          <w:i/>
          <w:iCs/>
          <w:sz w:val="22"/>
          <w:szCs w:val="22"/>
        </w:rPr>
        <w:t>XGBoost</w:t>
      </w:r>
      <w:proofErr w:type="spellEnd"/>
      <w:r w:rsidRPr="005D2F56">
        <w:rPr>
          <w:rFonts w:ascii="Times New Roman" w:hAnsi="Times New Roman" w:cs="Times New Roman"/>
          <w:i/>
          <w:iCs/>
          <w:sz w:val="22"/>
          <w:szCs w:val="22"/>
        </w:rPr>
        <w:t xml:space="preserve"> are nearly identical at 0.993, while Logistic Regression trails at 0.827, confirming the non-linear nature of the approval decision.</w:t>
      </w:r>
    </w:p>
    <w:p w14:paraId="2DB9FAD7" w14:textId="64CC137C" w:rsidR="00C630FA" w:rsidRPr="005D2F56" w:rsidRDefault="00C630FA" w:rsidP="00C630FA">
      <w:pPr>
        <w:pStyle w:val="Heading2"/>
        <w:rPr>
          <w:rFonts w:ascii="Times New Roman" w:hAnsi="Times New Roman" w:cs="Times New Roman"/>
        </w:rPr>
      </w:pPr>
      <w:r w:rsidRPr="005D2F56">
        <w:rPr>
          <w:rFonts w:ascii="Times New Roman" w:hAnsi="Times New Roman" w:cs="Times New Roman"/>
        </w:rPr>
        <w:t xml:space="preserve">Key Findings </w:t>
      </w:r>
    </w:p>
    <w:p w14:paraId="1E09D64A" w14:textId="77777777" w:rsidR="00C630FA" w:rsidRPr="005D2F56" w:rsidRDefault="00C630FA" w:rsidP="00C630FA">
      <w:pPr>
        <w:pStyle w:val="Heading3"/>
        <w:rPr>
          <w:rFonts w:ascii="Times New Roman" w:hAnsi="Times New Roman" w:cs="Times New Roman"/>
        </w:rPr>
      </w:pPr>
      <w:r w:rsidRPr="005D2F56">
        <w:rPr>
          <w:rFonts w:ascii="Times New Roman" w:hAnsi="Times New Roman" w:cs="Times New Roman"/>
        </w:rPr>
        <w:t>Interest Rate Dominates Predictions</w:t>
      </w:r>
    </w:p>
    <w:p w14:paraId="71204B31" w14:textId="5E62F730" w:rsidR="00C630FA" w:rsidRPr="005D2F56" w:rsidRDefault="00C630FA" w:rsidP="00C630FA">
      <w:pPr>
        <w:rPr>
          <w:rFonts w:ascii="Times New Roman" w:hAnsi="Times New Roman" w:cs="Times New Roman"/>
        </w:rPr>
      </w:pPr>
      <w:r w:rsidRPr="005D2F56">
        <w:rPr>
          <w:rFonts w:ascii="Times New Roman" w:hAnsi="Times New Roman" w:cs="Times New Roman"/>
        </w:rPr>
        <w:t xml:space="preserve">Interest rate is by far the most predictive feature, accounting for 60% of </w:t>
      </w:r>
      <w:proofErr w:type="spellStart"/>
      <w:r w:rsidRPr="005D2F56">
        <w:rPr>
          <w:rFonts w:ascii="Times New Roman" w:hAnsi="Times New Roman" w:cs="Times New Roman"/>
        </w:rPr>
        <w:t>XGBoost's</w:t>
      </w:r>
      <w:proofErr w:type="spellEnd"/>
      <w:r w:rsidRPr="005D2F56">
        <w:rPr>
          <w:rFonts w:ascii="Times New Roman" w:hAnsi="Times New Roman" w:cs="Times New Roman"/>
        </w:rPr>
        <w:t xml:space="preserve"> importance score and 48% of Random Forest's. This is expected</w:t>
      </w:r>
      <w:r w:rsidRPr="005D2F56">
        <w:rPr>
          <w:rFonts w:ascii="Times New Roman" w:hAnsi="Times New Roman" w:cs="Times New Roman"/>
        </w:rPr>
        <w:t xml:space="preserve">, </w:t>
      </w:r>
      <w:r w:rsidRPr="005D2F56">
        <w:rPr>
          <w:rFonts w:ascii="Times New Roman" w:hAnsi="Times New Roman" w:cs="Times New Roman"/>
        </w:rPr>
        <w:t>lenders price risk into the interest rate, so the rate effectively encodes creditworthiness. However, this raises a critical fair lending question: if lenders systematically offer higher rates to applicants from certain demographic groups, the model learns to predict denial using a proxy that may already encode potential discrimination.</w:t>
      </w:r>
    </w:p>
    <w:p w14:paraId="643233DF" w14:textId="644CB9FC" w:rsidR="00C630FA" w:rsidRPr="005D2F56" w:rsidRDefault="00C630FA" w:rsidP="00C630FA">
      <w:pPr>
        <w:jc w:val="center"/>
        <w:rPr>
          <w:rFonts w:ascii="Times New Roman" w:hAnsi="Times New Roman" w:cs="Times New Roman"/>
        </w:rPr>
      </w:pPr>
      <w:r w:rsidRPr="005D2F56">
        <w:rPr>
          <w:rFonts w:ascii="Times New Roman" w:hAnsi="Times New Roman" w:cs="Times New Roman"/>
          <w:noProof/>
        </w:rPr>
        <w:lastRenderedPageBreak/>
        <w:drawing>
          <wp:inline distT="0" distB="0" distL="0" distR="0" wp14:anchorId="6F81DCB3" wp14:editId="1ECC1561">
            <wp:extent cx="4628644" cy="4622211"/>
            <wp:effectExtent l="0" t="0" r="635" b="6985"/>
            <wp:docPr id="1374902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9166" cy="4632719"/>
                    </a:xfrm>
                    <a:prstGeom prst="rect">
                      <a:avLst/>
                    </a:prstGeom>
                    <a:noFill/>
                    <a:ln>
                      <a:noFill/>
                    </a:ln>
                  </pic:spPr>
                </pic:pic>
              </a:graphicData>
            </a:graphic>
          </wp:inline>
        </w:drawing>
      </w:r>
    </w:p>
    <w:p w14:paraId="5C7D160A" w14:textId="23A312AE" w:rsidR="00C630FA" w:rsidRPr="005D2F56" w:rsidRDefault="00C630FA" w:rsidP="00C630FA">
      <w:pPr>
        <w:jc w:val="center"/>
        <w:rPr>
          <w:rFonts w:ascii="Times New Roman" w:hAnsi="Times New Roman" w:cs="Times New Roman"/>
          <w:i/>
          <w:iCs/>
          <w:sz w:val="22"/>
          <w:szCs w:val="22"/>
        </w:rPr>
      </w:pPr>
      <w:r w:rsidRPr="005D2F56">
        <w:rPr>
          <w:rFonts w:ascii="Times New Roman" w:hAnsi="Times New Roman" w:cs="Times New Roman"/>
          <w:i/>
          <w:iCs/>
          <w:sz w:val="22"/>
          <w:szCs w:val="22"/>
        </w:rPr>
        <w:t xml:space="preserve">Figure 3. </w:t>
      </w:r>
      <w:proofErr w:type="spellStart"/>
      <w:r w:rsidRPr="005D2F56">
        <w:rPr>
          <w:rFonts w:ascii="Times New Roman" w:hAnsi="Times New Roman" w:cs="Times New Roman"/>
          <w:i/>
          <w:iCs/>
          <w:sz w:val="22"/>
          <w:szCs w:val="22"/>
        </w:rPr>
        <w:t>XGBoost</w:t>
      </w:r>
      <w:proofErr w:type="spellEnd"/>
      <w:r w:rsidRPr="005D2F56">
        <w:rPr>
          <w:rFonts w:ascii="Times New Roman" w:hAnsi="Times New Roman" w:cs="Times New Roman"/>
          <w:i/>
          <w:iCs/>
          <w:sz w:val="22"/>
          <w:szCs w:val="22"/>
        </w:rPr>
        <w:t xml:space="preserve"> feature importance. Interest rate accounts for 60% of predictive power, followed by submission method and debt-to-income ratio.</w:t>
      </w:r>
    </w:p>
    <w:p w14:paraId="40874B73" w14:textId="77777777" w:rsidR="00C630FA" w:rsidRPr="005D2F56" w:rsidRDefault="00C630FA" w:rsidP="00C630FA">
      <w:pPr>
        <w:pStyle w:val="Heading3"/>
        <w:rPr>
          <w:rFonts w:ascii="Times New Roman" w:hAnsi="Times New Roman" w:cs="Times New Roman"/>
        </w:rPr>
      </w:pPr>
      <w:r w:rsidRPr="005D2F56">
        <w:rPr>
          <w:rFonts w:ascii="Times New Roman" w:hAnsi="Times New Roman" w:cs="Times New Roman"/>
        </w:rPr>
        <w:t xml:space="preserve">Debt-to-Income is the Strongest Pure Financial Signal </w:t>
      </w:r>
    </w:p>
    <w:p w14:paraId="6B79E987" w14:textId="77777777" w:rsidR="00C630FA" w:rsidRPr="005D2F56" w:rsidRDefault="00C630FA" w:rsidP="00C630FA">
      <w:pPr>
        <w:rPr>
          <w:rFonts w:ascii="Times New Roman" w:hAnsi="Times New Roman" w:cs="Times New Roman"/>
        </w:rPr>
      </w:pPr>
      <w:r w:rsidRPr="005D2F56">
        <w:rPr>
          <w:rFonts w:ascii="Times New Roman" w:hAnsi="Times New Roman" w:cs="Times New Roman"/>
        </w:rPr>
        <w:t>After interest rate, debt-to-income ratio (DTI) is the most important financial feature in both models. Lenders reported DTI as the primary denial reason in 34.8% of all denied applications</w:t>
      </w:r>
      <w:r w:rsidRPr="005D2F56">
        <w:rPr>
          <w:rFonts w:ascii="Times New Roman" w:hAnsi="Times New Roman" w:cs="Times New Roman"/>
        </w:rPr>
        <w:t xml:space="preserve">, </w:t>
      </w:r>
      <w:r w:rsidRPr="005D2F56">
        <w:rPr>
          <w:rFonts w:ascii="Times New Roman" w:hAnsi="Times New Roman" w:cs="Times New Roman"/>
        </w:rPr>
        <w:t>222,447 cases. The DTI approval rate chart shows that approval remains stable between 83-86% for DTI values below 50%, then drops sharply to around 15% for DTI above 60%, matching standard underwriting thresholds</w:t>
      </w:r>
      <w:r w:rsidRPr="005D2F56">
        <w:rPr>
          <w:rFonts w:ascii="Times New Roman" w:hAnsi="Times New Roman" w:cs="Times New Roman"/>
        </w:rPr>
        <w:t>.</w:t>
      </w:r>
    </w:p>
    <w:p w14:paraId="72B64136" w14:textId="77777777" w:rsidR="00C630FA" w:rsidRPr="005D2F56" w:rsidRDefault="00C630FA" w:rsidP="00C630FA">
      <w:pPr>
        <w:rPr>
          <w:rFonts w:ascii="Times New Roman" w:hAnsi="Times New Roman" w:cs="Times New Roman"/>
        </w:rPr>
      </w:pPr>
    </w:p>
    <w:p w14:paraId="4006FDD7" w14:textId="3C4D0B46" w:rsidR="00C630FA" w:rsidRPr="005D2F56" w:rsidRDefault="00C630FA" w:rsidP="00C630FA">
      <w:pPr>
        <w:rPr>
          <w:rFonts w:ascii="Times New Roman" w:hAnsi="Times New Roman" w:cs="Times New Roman"/>
        </w:rPr>
      </w:pPr>
      <w:r w:rsidRPr="005D2F56">
        <w:rPr>
          <w:rFonts w:ascii="Times New Roman" w:hAnsi="Times New Roman" w:cs="Times New Roman"/>
          <w:noProof/>
        </w:rPr>
        <w:lastRenderedPageBreak/>
        <w:drawing>
          <wp:inline distT="0" distB="0" distL="0" distR="0" wp14:anchorId="4512293B" wp14:editId="6EFA98FD">
            <wp:extent cx="5939790" cy="2419350"/>
            <wp:effectExtent l="0" t="0" r="3810" b="0"/>
            <wp:docPr id="697371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419350"/>
                    </a:xfrm>
                    <a:prstGeom prst="rect">
                      <a:avLst/>
                    </a:prstGeom>
                    <a:noFill/>
                    <a:ln>
                      <a:noFill/>
                    </a:ln>
                  </pic:spPr>
                </pic:pic>
              </a:graphicData>
            </a:graphic>
          </wp:inline>
        </w:drawing>
      </w:r>
    </w:p>
    <w:p w14:paraId="2FDFFED9" w14:textId="461EA490" w:rsidR="00C630FA" w:rsidRPr="005D2F56" w:rsidRDefault="00C630FA" w:rsidP="00C630FA">
      <w:pPr>
        <w:jc w:val="center"/>
        <w:rPr>
          <w:rFonts w:ascii="Times New Roman" w:hAnsi="Times New Roman" w:cs="Times New Roman"/>
          <w:i/>
          <w:iCs/>
          <w:sz w:val="22"/>
          <w:szCs w:val="22"/>
        </w:rPr>
      </w:pPr>
      <w:r w:rsidRPr="005D2F56">
        <w:rPr>
          <w:rFonts w:ascii="Times New Roman" w:hAnsi="Times New Roman" w:cs="Times New Roman"/>
          <w:i/>
          <w:iCs/>
          <w:sz w:val="22"/>
          <w:szCs w:val="22"/>
        </w:rPr>
        <w:t>Figure 4. DTI ratio vs approval rate. Approval is stable across the 20-50% range, then collapses sharply above 50%, consistent with standard underwriting guidelines.</w:t>
      </w:r>
    </w:p>
    <w:p w14:paraId="58F6F4E5" w14:textId="77777777" w:rsidR="005D2F56" w:rsidRPr="005D2F56" w:rsidRDefault="005D2F56" w:rsidP="005D2F56">
      <w:pPr>
        <w:pStyle w:val="Heading3"/>
        <w:rPr>
          <w:rFonts w:ascii="Times New Roman" w:hAnsi="Times New Roman" w:cs="Times New Roman"/>
        </w:rPr>
      </w:pPr>
      <w:r w:rsidRPr="005D2F56">
        <w:rPr>
          <w:rFonts w:ascii="Times New Roman" w:hAnsi="Times New Roman" w:cs="Times New Roman"/>
        </w:rPr>
        <w:t xml:space="preserve">Primary Denial Reasons </w:t>
      </w:r>
    </w:p>
    <w:p w14:paraId="35A4C5D1" w14:textId="77777777" w:rsidR="005D2F56" w:rsidRPr="005D2F56" w:rsidRDefault="005D2F56" w:rsidP="005D2F56">
      <w:pPr>
        <w:rPr>
          <w:rFonts w:ascii="Times New Roman" w:hAnsi="Times New Roman" w:cs="Times New Roman"/>
        </w:rPr>
      </w:pPr>
      <w:r w:rsidRPr="005D2F56">
        <w:rPr>
          <w:rFonts w:ascii="Times New Roman" w:hAnsi="Times New Roman" w:cs="Times New Roman"/>
        </w:rPr>
        <w:t>Among the 639,352 denied applications, debt-to-income ratio and credit history together account for over 62% of all primary denial reasons. Collateral</w:t>
      </w:r>
      <w:r w:rsidRPr="005D2F56">
        <w:rPr>
          <w:rFonts w:ascii="Times New Roman" w:hAnsi="Times New Roman" w:cs="Times New Roman"/>
        </w:rPr>
        <w:t xml:space="preserve">, </w:t>
      </w:r>
      <w:r w:rsidRPr="005D2F56">
        <w:rPr>
          <w:rFonts w:ascii="Times New Roman" w:hAnsi="Times New Roman" w:cs="Times New Roman"/>
        </w:rPr>
        <w:t>insufficient property value relative to loan amount</w:t>
      </w:r>
      <w:r w:rsidRPr="005D2F56">
        <w:rPr>
          <w:rFonts w:ascii="Times New Roman" w:hAnsi="Times New Roman" w:cs="Times New Roman"/>
        </w:rPr>
        <w:t xml:space="preserve">, </w:t>
      </w:r>
      <w:r w:rsidRPr="005D2F56">
        <w:rPr>
          <w:rFonts w:ascii="Times New Roman" w:hAnsi="Times New Roman" w:cs="Times New Roman"/>
        </w:rPr>
        <w:t>is the third most common reason at 11%.</w:t>
      </w:r>
    </w:p>
    <w:p w14:paraId="7665FC05" w14:textId="5ED53D7D" w:rsidR="00C630FA" w:rsidRPr="005D2F56" w:rsidRDefault="005D2F56" w:rsidP="005D2F56">
      <w:pPr>
        <w:rPr>
          <w:rFonts w:ascii="Times New Roman" w:hAnsi="Times New Roman" w:cs="Times New Roman"/>
        </w:rPr>
      </w:pPr>
      <w:r w:rsidRPr="005D2F56">
        <w:rPr>
          <w:rFonts w:ascii="Times New Roman" w:hAnsi="Times New Roman" w:cs="Times New Roman"/>
          <w:noProof/>
        </w:rPr>
        <w:drawing>
          <wp:inline distT="0" distB="0" distL="0" distR="0" wp14:anchorId="42A3AC71" wp14:editId="1C1B4FE8">
            <wp:extent cx="5939790" cy="3228975"/>
            <wp:effectExtent l="0" t="0" r="3810" b="9525"/>
            <wp:docPr id="774960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228975"/>
                    </a:xfrm>
                    <a:prstGeom prst="rect">
                      <a:avLst/>
                    </a:prstGeom>
                    <a:noFill/>
                    <a:ln>
                      <a:noFill/>
                    </a:ln>
                  </pic:spPr>
                </pic:pic>
              </a:graphicData>
            </a:graphic>
          </wp:inline>
        </w:drawing>
      </w:r>
    </w:p>
    <w:p w14:paraId="52E411CB" w14:textId="2173C0A3" w:rsidR="005D2F56" w:rsidRPr="005D2F56" w:rsidRDefault="005D2F56" w:rsidP="005D2F56">
      <w:pPr>
        <w:rPr>
          <w:rFonts w:ascii="Times New Roman" w:hAnsi="Times New Roman" w:cs="Times New Roman"/>
          <w:i/>
          <w:iCs/>
          <w:sz w:val="22"/>
          <w:szCs w:val="22"/>
        </w:rPr>
      </w:pPr>
      <w:r w:rsidRPr="005D2F56">
        <w:rPr>
          <w:rFonts w:ascii="Times New Roman" w:hAnsi="Times New Roman" w:cs="Times New Roman"/>
          <w:i/>
          <w:iCs/>
          <w:sz w:val="22"/>
          <w:szCs w:val="22"/>
        </w:rPr>
        <w:t>Figure 5. Primary denial reasons. DTI (34.8%) and credit history (27.4%) are the dominant factors</w:t>
      </w:r>
      <w:r w:rsidRPr="005D2F56">
        <w:rPr>
          <w:rFonts w:ascii="Times New Roman" w:hAnsi="Times New Roman" w:cs="Times New Roman"/>
          <w:i/>
          <w:iCs/>
          <w:sz w:val="22"/>
          <w:szCs w:val="22"/>
        </w:rPr>
        <w:t>.</w:t>
      </w:r>
    </w:p>
    <w:p w14:paraId="7F945BD2" w14:textId="77777777" w:rsidR="005D2F56" w:rsidRPr="005D2F56" w:rsidRDefault="005D2F56" w:rsidP="005D2F56">
      <w:pPr>
        <w:pStyle w:val="Heading3"/>
        <w:rPr>
          <w:rFonts w:ascii="Times New Roman" w:hAnsi="Times New Roman" w:cs="Times New Roman"/>
        </w:rPr>
      </w:pPr>
      <w:r w:rsidRPr="005D2F56">
        <w:rPr>
          <w:rFonts w:ascii="Times New Roman" w:hAnsi="Times New Roman" w:cs="Times New Roman"/>
        </w:rPr>
        <w:lastRenderedPageBreak/>
        <w:t>Racial Disparities in Approval Rates</w:t>
      </w:r>
    </w:p>
    <w:p w14:paraId="7516A02C" w14:textId="7F8700AB" w:rsidR="005D2F56" w:rsidRPr="005D2F56" w:rsidRDefault="005D2F56" w:rsidP="005D2F56">
      <w:pPr>
        <w:rPr>
          <w:rFonts w:ascii="Times New Roman" w:hAnsi="Times New Roman" w:cs="Times New Roman"/>
        </w:rPr>
      </w:pPr>
      <w:r w:rsidRPr="005D2F56">
        <w:rPr>
          <w:rFonts w:ascii="Times New Roman" w:hAnsi="Times New Roman" w:cs="Times New Roman"/>
        </w:rPr>
        <w:t>Raw approval rates vary significantly across racial groups. Asian applicants have the highest approval rate at 88.8%, followed by White applicants at 86.7%. Black or African American applicants are approved at 73.5% and American Indian or Alaska Native applicants at 71.7%</w:t>
      </w:r>
      <w:r w:rsidRPr="005D2F56">
        <w:rPr>
          <w:rFonts w:ascii="Times New Roman" w:hAnsi="Times New Roman" w:cs="Times New Roman"/>
        </w:rPr>
        <w:t>,</w:t>
      </w:r>
      <w:r w:rsidRPr="005D2F56">
        <w:rPr>
          <w:rFonts w:ascii="Times New Roman" w:hAnsi="Times New Roman" w:cs="Times New Roman"/>
        </w:rPr>
        <w:t xml:space="preserve"> a gap of approximately 17 percentage points compared to the highest group. These raw figures do not control for income, DTI, or loan amount. A full fair lending analysis would require a regression controlling for financial variables to isolate whether race itself is a statistically significant predictor of denial after accounting for legitimate underwriting factors.</w:t>
      </w:r>
    </w:p>
    <w:p w14:paraId="7CAA46E2" w14:textId="4E574796" w:rsidR="005D2F56" w:rsidRPr="005D2F56" w:rsidRDefault="005D2F56" w:rsidP="005D2F56">
      <w:pPr>
        <w:rPr>
          <w:rFonts w:ascii="Times New Roman" w:hAnsi="Times New Roman" w:cs="Times New Roman"/>
        </w:rPr>
      </w:pPr>
      <w:r w:rsidRPr="005D2F56">
        <w:rPr>
          <w:rFonts w:ascii="Times New Roman" w:hAnsi="Times New Roman" w:cs="Times New Roman"/>
          <w:noProof/>
        </w:rPr>
        <w:drawing>
          <wp:inline distT="0" distB="0" distL="0" distR="0" wp14:anchorId="3E4EC81D" wp14:editId="39CB1DD2">
            <wp:extent cx="5939790" cy="2694940"/>
            <wp:effectExtent l="0" t="0" r="3810" b="0"/>
            <wp:docPr id="469097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2694940"/>
                    </a:xfrm>
                    <a:prstGeom prst="rect">
                      <a:avLst/>
                    </a:prstGeom>
                    <a:noFill/>
                    <a:ln>
                      <a:noFill/>
                    </a:ln>
                  </pic:spPr>
                </pic:pic>
              </a:graphicData>
            </a:graphic>
          </wp:inline>
        </w:drawing>
      </w:r>
    </w:p>
    <w:p w14:paraId="22109DC4" w14:textId="472A3801" w:rsidR="005D2F56" w:rsidRPr="005D2F56" w:rsidRDefault="005D2F56" w:rsidP="005D2F56">
      <w:pPr>
        <w:jc w:val="center"/>
        <w:rPr>
          <w:rFonts w:ascii="Times New Roman" w:hAnsi="Times New Roman" w:cs="Times New Roman"/>
          <w:i/>
          <w:iCs/>
          <w:sz w:val="22"/>
          <w:szCs w:val="22"/>
        </w:rPr>
      </w:pPr>
      <w:r w:rsidRPr="005D2F56">
        <w:rPr>
          <w:rFonts w:ascii="Times New Roman" w:hAnsi="Times New Roman" w:cs="Times New Roman"/>
          <w:i/>
          <w:iCs/>
          <w:sz w:val="22"/>
          <w:szCs w:val="22"/>
        </w:rPr>
        <w:t>Figure 6. Approval rate and application volume by race. A 17-point gap separates the highest and lowest approval rates. White applicants account for the vast majority of application volume.</w:t>
      </w:r>
    </w:p>
    <w:p w14:paraId="1F7BA46C" w14:textId="77777777" w:rsidR="005D2F56" w:rsidRPr="005D2F56" w:rsidRDefault="005D2F56" w:rsidP="005D2F56">
      <w:pPr>
        <w:pStyle w:val="Heading3"/>
        <w:rPr>
          <w:rFonts w:ascii="Times New Roman" w:hAnsi="Times New Roman" w:cs="Times New Roman"/>
        </w:rPr>
      </w:pPr>
      <w:r w:rsidRPr="005D2F56">
        <w:rPr>
          <w:rFonts w:ascii="Times New Roman" w:hAnsi="Times New Roman" w:cs="Times New Roman"/>
        </w:rPr>
        <w:t xml:space="preserve">Interest Rate as a Fair Lending Concern </w:t>
      </w:r>
    </w:p>
    <w:p w14:paraId="5D058680" w14:textId="03EFBEE9" w:rsidR="005D2F56" w:rsidRPr="005D2F56" w:rsidRDefault="005D2F56" w:rsidP="005D2F56">
      <w:pPr>
        <w:rPr>
          <w:rFonts w:ascii="Times New Roman" w:hAnsi="Times New Roman" w:cs="Times New Roman"/>
        </w:rPr>
      </w:pPr>
      <w:r w:rsidRPr="005D2F56">
        <w:rPr>
          <w:rFonts w:ascii="Times New Roman" w:hAnsi="Times New Roman" w:cs="Times New Roman"/>
        </w:rPr>
        <w:t>Denied applications cluster at higher interest rates with almost no overlap with approved applications. This suggests that by the time an application reaches a denial decision, the interest rate already reflects the lender's risk assessment. All four loan types share similar median interest rates near 6.2-6.7%, with VA loans slightly lower.</w:t>
      </w:r>
    </w:p>
    <w:p w14:paraId="101C39A8" w14:textId="0AA48BC0" w:rsidR="005D2F56" w:rsidRPr="005D2F56" w:rsidRDefault="005D2F56" w:rsidP="005D2F56">
      <w:pPr>
        <w:rPr>
          <w:rFonts w:ascii="Times New Roman" w:hAnsi="Times New Roman" w:cs="Times New Roman"/>
        </w:rPr>
      </w:pPr>
      <w:r w:rsidRPr="005D2F56">
        <w:rPr>
          <w:rFonts w:ascii="Times New Roman" w:hAnsi="Times New Roman" w:cs="Times New Roman"/>
          <w:noProof/>
        </w:rPr>
        <w:lastRenderedPageBreak/>
        <w:drawing>
          <wp:inline distT="0" distB="0" distL="0" distR="0" wp14:anchorId="00F1DA26" wp14:editId="721564DB">
            <wp:extent cx="5939790" cy="2694940"/>
            <wp:effectExtent l="0" t="0" r="3810" b="0"/>
            <wp:docPr id="1258565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2694940"/>
                    </a:xfrm>
                    <a:prstGeom prst="rect">
                      <a:avLst/>
                    </a:prstGeom>
                    <a:noFill/>
                    <a:ln>
                      <a:noFill/>
                    </a:ln>
                  </pic:spPr>
                </pic:pic>
              </a:graphicData>
            </a:graphic>
          </wp:inline>
        </w:drawing>
      </w:r>
    </w:p>
    <w:p w14:paraId="0BEBC546" w14:textId="40540326" w:rsidR="005D2F56" w:rsidRPr="005D2F56" w:rsidRDefault="005D2F56" w:rsidP="005D2F56">
      <w:pPr>
        <w:jc w:val="center"/>
        <w:rPr>
          <w:rFonts w:ascii="Times New Roman" w:hAnsi="Times New Roman" w:cs="Times New Roman"/>
          <w:i/>
          <w:iCs/>
          <w:sz w:val="22"/>
          <w:szCs w:val="22"/>
        </w:rPr>
      </w:pPr>
      <w:r w:rsidRPr="005D2F56">
        <w:rPr>
          <w:rFonts w:ascii="Times New Roman" w:hAnsi="Times New Roman" w:cs="Times New Roman"/>
          <w:i/>
          <w:iCs/>
          <w:sz w:val="22"/>
          <w:szCs w:val="22"/>
        </w:rPr>
        <w:t>Figure 7. Interest rate by approval decision (left) and median rate by loan type (right). Denied applications show minimal overlap with approved, indicating rate encodes risk at the point of decision.</w:t>
      </w:r>
    </w:p>
    <w:p w14:paraId="567B08CD" w14:textId="77777777" w:rsidR="005D2F56" w:rsidRPr="005D2F56" w:rsidRDefault="005D2F56" w:rsidP="005D2F56">
      <w:pPr>
        <w:pStyle w:val="Heading2"/>
        <w:rPr>
          <w:rFonts w:ascii="Times New Roman" w:hAnsi="Times New Roman" w:cs="Times New Roman"/>
        </w:rPr>
      </w:pPr>
      <w:r w:rsidRPr="005D2F56">
        <w:rPr>
          <w:rFonts w:ascii="Times New Roman" w:hAnsi="Times New Roman" w:cs="Times New Roman"/>
        </w:rPr>
        <w:t>Limitations &amp; Future Work</w:t>
      </w:r>
    </w:p>
    <w:p w14:paraId="6F226CDE" w14:textId="7212A4C6" w:rsidR="005D2F56" w:rsidRPr="005D2F56" w:rsidRDefault="005D2F56" w:rsidP="005D2F56">
      <w:pPr>
        <w:pStyle w:val="ListParagraph"/>
        <w:numPr>
          <w:ilvl w:val="0"/>
          <w:numId w:val="2"/>
        </w:numPr>
        <w:rPr>
          <w:rFonts w:ascii="Times New Roman" w:hAnsi="Times New Roman" w:cs="Times New Roman"/>
        </w:rPr>
      </w:pPr>
      <w:r w:rsidRPr="005D2F56">
        <w:rPr>
          <w:rFonts w:ascii="Times New Roman" w:hAnsi="Times New Roman" w:cs="Times New Roman"/>
        </w:rPr>
        <w:t xml:space="preserve">Interest rate as a feature may encode lender bias rather than pure credit risk. A future version should exclude it and measure the performance drop to understand its true contribution. </w:t>
      </w:r>
    </w:p>
    <w:p w14:paraId="16A67617" w14:textId="2E8B8B54" w:rsidR="005D2F56" w:rsidRPr="005D2F56" w:rsidRDefault="005D2F56" w:rsidP="005D2F56">
      <w:pPr>
        <w:pStyle w:val="ListParagraph"/>
        <w:numPr>
          <w:ilvl w:val="0"/>
          <w:numId w:val="2"/>
        </w:numPr>
        <w:rPr>
          <w:rFonts w:ascii="Times New Roman" w:hAnsi="Times New Roman" w:cs="Times New Roman"/>
        </w:rPr>
      </w:pPr>
      <w:r w:rsidRPr="005D2F56">
        <w:rPr>
          <w:rFonts w:ascii="Times New Roman" w:hAnsi="Times New Roman" w:cs="Times New Roman"/>
        </w:rPr>
        <w:t>Raw approval rate gaps by race do not control for income, DTI, or loan amount. A regression controlling for financial variables is needed to determine whether race has an independent effect.</w:t>
      </w:r>
    </w:p>
    <w:p w14:paraId="0CF9F852" w14:textId="7FA11E8B" w:rsidR="005D2F56" w:rsidRPr="005D2F56" w:rsidRDefault="005D2F56" w:rsidP="005D2F56">
      <w:pPr>
        <w:pStyle w:val="ListParagraph"/>
        <w:numPr>
          <w:ilvl w:val="0"/>
          <w:numId w:val="2"/>
        </w:numPr>
        <w:rPr>
          <w:rFonts w:ascii="Times New Roman" w:hAnsi="Times New Roman" w:cs="Times New Roman"/>
        </w:rPr>
      </w:pPr>
      <w:r w:rsidRPr="005D2F56">
        <w:rPr>
          <w:rFonts w:ascii="Times New Roman" w:hAnsi="Times New Roman" w:cs="Times New Roman"/>
        </w:rPr>
        <w:t xml:space="preserve">The model predicts outcomes as actually reported by lenders, meaning it may replicate existing patterns rather than identify what decisions should be made under fair lending law. </w:t>
      </w:r>
    </w:p>
    <w:p w14:paraId="70256011" w14:textId="0085FD6F" w:rsidR="005D2F56" w:rsidRPr="005D2F56" w:rsidRDefault="005D2F56" w:rsidP="005D2F56">
      <w:pPr>
        <w:pStyle w:val="ListParagraph"/>
        <w:numPr>
          <w:ilvl w:val="0"/>
          <w:numId w:val="2"/>
        </w:numPr>
        <w:rPr>
          <w:rFonts w:ascii="Times New Roman" w:hAnsi="Times New Roman" w:cs="Times New Roman"/>
        </w:rPr>
      </w:pPr>
      <w:r w:rsidRPr="005D2F56">
        <w:rPr>
          <w:rFonts w:ascii="Times New Roman" w:hAnsi="Times New Roman" w:cs="Times New Roman"/>
        </w:rPr>
        <w:t>Geographic variation in approval rates warrants deeper analysis, particularly in states with historically lower approval rates.</w:t>
      </w:r>
    </w:p>
    <w:p w14:paraId="74B9C553" w14:textId="6CB829B8" w:rsidR="005D2F56" w:rsidRPr="005D2F56" w:rsidRDefault="005D2F56" w:rsidP="005D2F56">
      <w:pPr>
        <w:rPr>
          <w:rFonts w:ascii="Times New Roman" w:hAnsi="Times New Roman" w:cs="Times New Roman"/>
        </w:rPr>
      </w:pPr>
      <w:r w:rsidRPr="005D2F56">
        <w:rPr>
          <w:rFonts w:ascii="Times New Roman" w:hAnsi="Times New Roman" w:cs="Times New Roman"/>
        </w:rPr>
        <w:t xml:space="preserve"> The most significant next step is a fair lending regression: fitting the model with race and sex excluded, then comparing predicted denial probabilities against actual outcomes by demographic group. Unexplained gaps between model predictions and actual denials for specific groups would be a meaningful signal of potential disparate treatment</w:t>
      </w:r>
    </w:p>
    <w:p w14:paraId="64512A2E" w14:textId="7A8C3F92" w:rsidR="005D2F56" w:rsidRPr="005D2F56" w:rsidRDefault="005D2F56" w:rsidP="005D2F56">
      <w:pPr>
        <w:pStyle w:val="Heading2"/>
        <w:rPr>
          <w:rFonts w:ascii="Times New Roman" w:hAnsi="Times New Roman" w:cs="Times New Roman"/>
        </w:rPr>
      </w:pPr>
      <w:r w:rsidRPr="005D2F56">
        <w:rPr>
          <w:rFonts w:ascii="Times New Roman" w:hAnsi="Times New Roman" w:cs="Times New Roman"/>
        </w:rPr>
        <w:t>Conclusion</w:t>
      </w:r>
    </w:p>
    <w:p w14:paraId="7D32B0EE" w14:textId="77777777" w:rsidR="005D2F56" w:rsidRPr="005D2F56" w:rsidRDefault="005D2F56" w:rsidP="005D2F56">
      <w:pPr>
        <w:rPr>
          <w:rFonts w:ascii="Times New Roman" w:hAnsi="Times New Roman" w:cs="Times New Roman"/>
        </w:rPr>
      </w:pPr>
      <w:r w:rsidRPr="005D2F56">
        <w:rPr>
          <w:rFonts w:ascii="Times New Roman" w:hAnsi="Times New Roman" w:cs="Times New Roman"/>
        </w:rPr>
        <w:t xml:space="preserve"> </w:t>
      </w:r>
      <w:proofErr w:type="spellStart"/>
      <w:r w:rsidRPr="005D2F56">
        <w:rPr>
          <w:rFonts w:ascii="Times New Roman" w:hAnsi="Times New Roman" w:cs="Times New Roman"/>
        </w:rPr>
        <w:t>XGBoost</w:t>
      </w:r>
      <w:proofErr w:type="spellEnd"/>
      <w:r w:rsidRPr="005D2F56">
        <w:rPr>
          <w:rFonts w:ascii="Times New Roman" w:hAnsi="Times New Roman" w:cs="Times New Roman"/>
        </w:rPr>
        <w:t xml:space="preserve"> achieves a ROC-AUC of 0.9932 on 850,853 real mortgage applications, demonstrating that loan approval decisions are highly predictable from the 121 features available in HMDA data. The near-perfect predictability itself is informative: it suggests that lenders are applying consistent, learnable criteria captured in reported data including interest rate, DTI, and automated underwriting system output. </w:t>
      </w:r>
    </w:p>
    <w:p w14:paraId="237DC768" w14:textId="24521D17" w:rsidR="005D2F56" w:rsidRPr="005D2F56" w:rsidRDefault="005D2F56" w:rsidP="005D2F56">
      <w:r w:rsidRPr="005D2F56">
        <w:rPr>
          <w:rFonts w:ascii="Times New Roman" w:hAnsi="Times New Roman" w:cs="Times New Roman"/>
        </w:rPr>
        <w:lastRenderedPageBreak/>
        <w:t>The 17-percentage-point racial approval rate gap and the dominance of interest rate as a predictive feature together point to the value of deeper fair lending analysis using this dataset. The data and code for this project are publicly available; the HMDA dataset itself is free to download from the CFPB Data Browser at ffiec.cfpb.gov/data-browse</w:t>
      </w:r>
      <w:r w:rsidRPr="005D2F56">
        <w:t>r.</w:t>
      </w:r>
    </w:p>
    <w:sectPr w:rsidR="005D2F56" w:rsidRPr="005D2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2A99"/>
    <w:multiLevelType w:val="hybridMultilevel"/>
    <w:tmpl w:val="BBB2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7B1716"/>
    <w:multiLevelType w:val="hybridMultilevel"/>
    <w:tmpl w:val="25404B5C"/>
    <w:lvl w:ilvl="0" w:tplc="CCAA3F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ED0CD3"/>
    <w:multiLevelType w:val="hybridMultilevel"/>
    <w:tmpl w:val="55D41E22"/>
    <w:lvl w:ilvl="0" w:tplc="CCAA3F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9E6983"/>
    <w:multiLevelType w:val="hybridMultilevel"/>
    <w:tmpl w:val="29A6316A"/>
    <w:lvl w:ilvl="0" w:tplc="CCAA3F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608A8"/>
    <w:multiLevelType w:val="hybridMultilevel"/>
    <w:tmpl w:val="93BC2B8C"/>
    <w:lvl w:ilvl="0" w:tplc="CCAA3F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267392">
    <w:abstractNumId w:val="0"/>
  </w:num>
  <w:num w:numId="2" w16cid:durableId="702025497">
    <w:abstractNumId w:val="1"/>
  </w:num>
  <w:num w:numId="3" w16cid:durableId="1053382102">
    <w:abstractNumId w:val="3"/>
  </w:num>
  <w:num w:numId="4" w16cid:durableId="1835761007">
    <w:abstractNumId w:val="4"/>
  </w:num>
  <w:num w:numId="5" w16cid:durableId="281494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862"/>
    <w:rsid w:val="00313862"/>
    <w:rsid w:val="005D2F56"/>
    <w:rsid w:val="00C630FA"/>
    <w:rsid w:val="00D61AA3"/>
    <w:rsid w:val="00FB5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CFA5"/>
  <w15:chartTrackingRefBased/>
  <w15:docId w15:val="{F69F1E0A-890D-40BC-86FF-93D06C4D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3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3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862"/>
    <w:rPr>
      <w:rFonts w:eastAsiaTheme="majorEastAsia" w:cstheme="majorBidi"/>
      <w:color w:val="272727" w:themeColor="text1" w:themeTint="D8"/>
    </w:rPr>
  </w:style>
  <w:style w:type="paragraph" w:styleId="Title">
    <w:name w:val="Title"/>
    <w:basedOn w:val="Normal"/>
    <w:next w:val="Normal"/>
    <w:link w:val="TitleChar"/>
    <w:uiPriority w:val="10"/>
    <w:qFormat/>
    <w:rsid w:val="00313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862"/>
    <w:pPr>
      <w:spacing w:before="160"/>
      <w:jc w:val="center"/>
    </w:pPr>
    <w:rPr>
      <w:i/>
      <w:iCs/>
      <w:color w:val="404040" w:themeColor="text1" w:themeTint="BF"/>
    </w:rPr>
  </w:style>
  <w:style w:type="character" w:customStyle="1" w:styleId="QuoteChar">
    <w:name w:val="Quote Char"/>
    <w:basedOn w:val="DefaultParagraphFont"/>
    <w:link w:val="Quote"/>
    <w:uiPriority w:val="29"/>
    <w:rsid w:val="00313862"/>
    <w:rPr>
      <w:i/>
      <w:iCs/>
      <w:color w:val="404040" w:themeColor="text1" w:themeTint="BF"/>
    </w:rPr>
  </w:style>
  <w:style w:type="paragraph" w:styleId="ListParagraph">
    <w:name w:val="List Paragraph"/>
    <w:basedOn w:val="Normal"/>
    <w:uiPriority w:val="34"/>
    <w:qFormat/>
    <w:rsid w:val="00313862"/>
    <w:pPr>
      <w:ind w:left="720"/>
      <w:contextualSpacing/>
    </w:pPr>
  </w:style>
  <w:style w:type="character" w:styleId="IntenseEmphasis">
    <w:name w:val="Intense Emphasis"/>
    <w:basedOn w:val="DefaultParagraphFont"/>
    <w:uiPriority w:val="21"/>
    <w:qFormat/>
    <w:rsid w:val="00313862"/>
    <w:rPr>
      <w:i/>
      <w:iCs/>
      <w:color w:val="0F4761" w:themeColor="accent1" w:themeShade="BF"/>
    </w:rPr>
  </w:style>
  <w:style w:type="paragraph" w:styleId="IntenseQuote">
    <w:name w:val="Intense Quote"/>
    <w:basedOn w:val="Normal"/>
    <w:next w:val="Normal"/>
    <w:link w:val="IntenseQuoteChar"/>
    <w:uiPriority w:val="30"/>
    <w:qFormat/>
    <w:rsid w:val="00313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862"/>
    <w:rPr>
      <w:i/>
      <w:iCs/>
      <w:color w:val="0F4761" w:themeColor="accent1" w:themeShade="BF"/>
    </w:rPr>
  </w:style>
  <w:style w:type="character" w:styleId="IntenseReference">
    <w:name w:val="Intense Reference"/>
    <w:basedOn w:val="DefaultParagraphFont"/>
    <w:uiPriority w:val="32"/>
    <w:qFormat/>
    <w:rsid w:val="00313862"/>
    <w:rPr>
      <w:b/>
      <w:bCs/>
      <w:smallCaps/>
      <w:color w:val="0F4761" w:themeColor="accent1" w:themeShade="BF"/>
      <w:spacing w:val="5"/>
    </w:rPr>
  </w:style>
  <w:style w:type="table" w:styleId="TableGrid">
    <w:name w:val="Table Grid"/>
    <w:basedOn w:val="TableNormal"/>
    <w:uiPriority w:val="39"/>
    <w:rsid w:val="00313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630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Hartshorn</dc:creator>
  <cp:keywords/>
  <dc:description/>
  <cp:lastModifiedBy>Alison Hartshorn</cp:lastModifiedBy>
  <cp:revision>1</cp:revision>
  <dcterms:created xsi:type="dcterms:W3CDTF">2026-04-28T02:04:00Z</dcterms:created>
  <dcterms:modified xsi:type="dcterms:W3CDTF">2026-04-28T02:43:00Z</dcterms:modified>
</cp:coreProperties>
</file>