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Safety Specification</w:t>
      </w:r>
    </w:p>
    <w:p>
      <w:r>
        <w:t>BRK-REQ-101: The braking controller shall detect wheel-speed sensor failure within 100 ms.</w:t>
      </w:r>
    </w:p>
    <w:p>
      <w:r>
        <w:t>ADAS-REQ-101: The ADAS controller shall issue a collision warning when the defined collision condition occurs.</w:t>
      </w:r>
    </w:p>
    <w:p>
      <w:r>
        <w:t>TPMS-REQ-101: The system shall detect low tyre pressure below 2.0 bar.</w:t>
      </w:r>
    </w:p>
    <w:p>
      <w:r>
        <w:t>BRK-REQ-102: The braking controller shall detect wheel-speed sensor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