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وأفكاره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الانفعالات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ومحترمة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والتحمل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السيطرة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مكافأة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لتعزيزه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الانتباه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13-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التوتر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لتهدئة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والقلق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اء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15-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16-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للعقاب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18-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والراحة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21-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الانتباه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٢٢-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الذهنية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٢٣-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وتحفيزها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المكافآت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٢٤-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الإبداعي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ومبتكرة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25-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26-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لذاته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٢٧-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للتحسين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٢٨-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بالروتين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والسلوكي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٢٩-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وتطبيقها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٣٠-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ونتائجها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٣١-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٣٢-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٣٣-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٣٤-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٣٥-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بالخطأ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والاعتذار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بصدق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٣٦-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اندفاعي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٣٧-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الجيدة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٣٨-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الانسجام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٣٩-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والخذلان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٤٠-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الفكاهة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النزاعات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41-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الانفعالية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Resilience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42.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الاستمرار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43.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المسبق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الاندفاعية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44.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الإحباط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الخذلان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الانفجار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45.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بالعواقب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بنتائجه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سيحدث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46.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المستقبلي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47.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الاستقلالية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48.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المماطلة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49.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التسامح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النزاعات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٥٠.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Awareness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لجسده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وحدوده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الاندفاعية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٥١.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Flexibility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التوقف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٥٢.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الاندفاعية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Impulse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الانفعالات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إبرازها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٥٣.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بالنظافة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ممتلكاته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بالاستقلالية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والانضباط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٥٤.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Perspective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العاطفي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٥٥.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الاستمرارية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Perseverance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Grit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٥٦.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Clarification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Seeking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تقصد</w:t>
      </w:r>
      <w:r w:rsidDel="00000000" w:rsidR="00000000" w:rsidRPr="00000000">
        <w:rPr>
          <w:rtl w:val="1"/>
        </w:rPr>
        <w:t xml:space="preserve">؟"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٥٧.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Managing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Boredom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يسلكون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٥٨.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Awareness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الأخلاقية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التعاون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الأمانة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