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0B13F4" wp14:paraId="658C86DF" wp14:textId="7FAB97EA">
      <w:pPr>
        <w:pStyle w:val="Heading2"/>
        <w:spacing w:before="299" w:beforeAutospacing="off" w:after="299" w:afterAutospacing="off"/>
      </w:pPr>
      <w:r w:rsidRPr="480B13F4" w:rsidR="695C33D0">
        <w:rPr>
          <w:rFonts w:ascii="Aptos" w:hAnsi="Aptos" w:eastAsia="Aptos" w:cs="Aptos"/>
          <w:b w:val="1"/>
          <w:bCs w:val="1"/>
          <w:noProof w:val="0"/>
          <w:sz w:val="36"/>
          <w:szCs w:val="36"/>
          <w:lang w:val="en-US"/>
        </w:rPr>
        <w:t>1. Introduction</w:t>
      </w:r>
    </w:p>
    <w:p xmlns:wp14="http://schemas.microsoft.com/office/word/2010/wordml" w:rsidP="480B13F4" wp14:paraId="106106D4" wp14:textId="1D113F13">
      <w:pPr>
        <w:spacing w:before="240" w:beforeAutospacing="off" w:after="240" w:afterAutospacing="off"/>
      </w:pPr>
      <w:r w:rsidRPr="480B13F4" w:rsidR="695C33D0">
        <w:rPr>
          <w:rFonts w:ascii="Aptos" w:hAnsi="Aptos" w:eastAsia="Aptos" w:cs="Aptos"/>
          <w:noProof w:val="0"/>
          <w:sz w:val="24"/>
          <w:szCs w:val="24"/>
          <w:lang w:val="en-US"/>
        </w:rPr>
        <w:t>This project analyzes the efficiency of the Unaccompanied Alien Children (UAC) care transition pipeline. The pipeline involves the transfer of children from CBP custody to HHS care and their eventual discharge to sponsors. The objective is to measure system performance, identify bottlenecks, and evaluate placement outcomes using data analytics.</w:t>
      </w:r>
    </w:p>
    <w:p xmlns:wp14="http://schemas.microsoft.com/office/word/2010/wordml" wp14:paraId="07D0A2E8" wp14:textId="3FC218B6"/>
    <w:p xmlns:wp14="http://schemas.microsoft.com/office/word/2010/wordml" w:rsidP="480B13F4" wp14:paraId="4BFC56D7" wp14:textId="2C217908">
      <w:pPr>
        <w:pStyle w:val="Heading2"/>
        <w:spacing w:before="299" w:beforeAutospacing="off" w:after="299" w:afterAutospacing="off"/>
      </w:pPr>
      <w:r w:rsidRPr="480B13F4" w:rsidR="695C33D0">
        <w:rPr>
          <w:rFonts w:ascii="Aptos" w:hAnsi="Aptos" w:eastAsia="Aptos" w:cs="Aptos"/>
          <w:b w:val="1"/>
          <w:bCs w:val="1"/>
          <w:noProof w:val="0"/>
          <w:sz w:val="36"/>
          <w:szCs w:val="36"/>
          <w:lang w:val="en-US"/>
        </w:rPr>
        <w:t>2. Dataset Description</w:t>
      </w:r>
    </w:p>
    <w:p xmlns:wp14="http://schemas.microsoft.com/office/word/2010/wordml" w:rsidP="480B13F4" wp14:paraId="0BF363C7" wp14:textId="197F35C9">
      <w:pPr>
        <w:spacing w:before="240" w:beforeAutospacing="off" w:after="240" w:afterAutospacing="off"/>
      </w:pPr>
      <w:r w:rsidRPr="480B13F4" w:rsidR="695C33D0">
        <w:rPr>
          <w:rFonts w:ascii="Aptos" w:hAnsi="Aptos" w:eastAsia="Aptos" w:cs="Aptos"/>
          <w:noProof w:val="0"/>
          <w:sz w:val="24"/>
          <w:szCs w:val="24"/>
          <w:lang w:val="en-US"/>
        </w:rPr>
        <w:t>The dataset contains daily records of children in different stages of the care pipeline, including:</w:t>
      </w:r>
    </w:p>
    <w:p xmlns:wp14="http://schemas.microsoft.com/office/word/2010/wordml" w:rsidP="480B13F4" wp14:paraId="70EEE071" wp14:textId="227BFC3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Children apprehended and placed in CBP custody</w:t>
      </w:r>
    </w:p>
    <w:p xmlns:wp14="http://schemas.microsoft.com/office/word/2010/wordml" w:rsidP="480B13F4" wp14:paraId="4CF3B386" wp14:textId="7B088AF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Children transferred to HHS care</w:t>
      </w:r>
    </w:p>
    <w:p xmlns:wp14="http://schemas.microsoft.com/office/word/2010/wordml" w:rsidP="480B13F4" wp14:paraId="7047D63A" wp14:textId="646297B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Children currently in HHS care</w:t>
      </w:r>
    </w:p>
    <w:p xmlns:wp14="http://schemas.microsoft.com/office/word/2010/wordml" w:rsidP="480B13F4" wp14:paraId="74F2A688" wp14:textId="6AB252D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Children discharged to sponsors</w:t>
      </w:r>
    </w:p>
    <w:p xmlns:wp14="http://schemas.microsoft.com/office/word/2010/wordml" wp14:paraId="18B299C2" wp14:textId="4E63FF40"/>
    <w:p xmlns:wp14="http://schemas.microsoft.com/office/word/2010/wordml" w:rsidP="480B13F4" wp14:paraId="6FBABFAD" wp14:textId="75D6BA9E">
      <w:pPr>
        <w:pStyle w:val="Heading2"/>
        <w:spacing w:before="299" w:beforeAutospacing="off" w:after="299" w:afterAutospacing="off"/>
      </w:pPr>
      <w:r w:rsidRPr="480B13F4" w:rsidR="695C33D0">
        <w:rPr>
          <w:rFonts w:ascii="Aptos" w:hAnsi="Aptos" w:eastAsia="Aptos" w:cs="Aptos"/>
          <w:b w:val="1"/>
          <w:bCs w:val="1"/>
          <w:noProof w:val="0"/>
          <w:sz w:val="36"/>
          <w:szCs w:val="36"/>
          <w:lang w:val="en-US"/>
        </w:rPr>
        <w:t>3. Methodology</w:t>
      </w:r>
    </w:p>
    <w:p xmlns:wp14="http://schemas.microsoft.com/office/word/2010/wordml" w:rsidP="480B13F4" wp14:paraId="7BD2F1C0" wp14:textId="37D82838">
      <w:pPr>
        <w:spacing w:before="240" w:beforeAutospacing="off" w:after="240" w:afterAutospacing="off"/>
      </w:pPr>
      <w:r w:rsidRPr="480B13F4" w:rsidR="695C33D0">
        <w:rPr>
          <w:rFonts w:ascii="Aptos" w:hAnsi="Aptos" w:eastAsia="Aptos" w:cs="Aptos"/>
          <w:noProof w:val="0"/>
          <w:sz w:val="24"/>
          <w:szCs w:val="24"/>
          <w:lang w:val="en-US"/>
        </w:rPr>
        <w:t>The analysis was conducted using Python and Streamlit. Key steps included:</w:t>
      </w:r>
    </w:p>
    <w:p xmlns:wp14="http://schemas.microsoft.com/office/word/2010/wordml" w:rsidP="480B13F4" wp14:paraId="27C828C7" wp14:textId="087FF0A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Data cleaning and preprocessing</w:t>
      </w:r>
    </w:p>
    <w:p xmlns:wp14="http://schemas.microsoft.com/office/word/2010/wordml" w:rsidP="480B13F4" wp14:paraId="720B0A2D" wp14:textId="430C20F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Conversion of columns into numeric format</w:t>
      </w:r>
    </w:p>
    <w:p xmlns:wp14="http://schemas.microsoft.com/office/word/2010/wordml" w:rsidP="480B13F4" wp14:paraId="565A7C67" wp14:textId="29CE5F5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Calculation of efficiency ratios:</w:t>
      </w:r>
    </w:p>
    <w:p xmlns:wp14="http://schemas.microsoft.com/office/word/2010/wordml" w:rsidP="480B13F4" wp14:paraId="1B107104" wp14:textId="109EB780">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Transfer Efficiency Ratio</w:t>
      </w:r>
    </w:p>
    <w:p xmlns:wp14="http://schemas.microsoft.com/office/word/2010/wordml" w:rsidP="480B13F4" wp14:paraId="059EBE56" wp14:textId="07A3D459">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Discharge Effectiveness Index</w:t>
      </w:r>
    </w:p>
    <w:p xmlns:wp14="http://schemas.microsoft.com/office/word/2010/wordml" w:rsidP="480B13F4" wp14:paraId="69B1D6A5" wp14:textId="796F8D1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Visualization of trends over time</w:t>
      </w:r>
    </w:p>
    <w:p xmlns:wp14="http://schemas.microsoft.com/office/word/2010/wordml" wp14:paraId="49746F78" wp14:textId="1F314320"/>
    <w:p xmlns:wp14="http://schemas.microsoft.com/office/word/2010/wordml" w:rsidP="480B13F4" wp14:paraId="73531C67" wp14:textId="1432A3D4">
      <w:pPr>
        <w:pStyle w:val="Heading2"/>
        <w:spacing w:before="299" w:beforeAutospacing="off" w:after="299" w:afterAutospacing="off"/>
      </w:pPr>
      <w:r w:rsidRPr="480B13F4" w:rsidR="695C33D0">
        <w:rPr>
          <w:rFonts w:ascii="Aptos" w:hAnsi="Aptos" w:eastAsia="Aptos" w:cs="Aptos"/>
          <w:b w:val="1"/>
          <w:bCs w:val="1"/>
          <w:noProof w:val="0"/>
          <w:sz w:val="36"/>
          <w:szCs w:val="36"/>
          <w:lang w:val="en-US"/>
        </w:rPr>
        <w:t>4. Key Findings</w:t>
      </w:r>
    </w:p>
    <w:p xmlns:wp14="http://schemas.microsoft.com/office/word/2010/wordml" w:rsidP="480B13F4" wp14:paraId="586FFB03" wp14:textId="67590ED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Transfer efficiency varied across time periods.</w:t>
      </w:r>
    </w:p>
    <w:p xmlns:wp14="http://schemas.microsoft.com/office/word/2010/wordml" w:rsidP="480B13F4" wp14:paraId="5A1F8990" wp14:textId="4F94645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Discharge rates were generally lower than transfer rates.</w:t>
      </w:r>
    </w:p>
    <w:p xmlns:wp14="http://schemas.microsoft.com/office/word/2010/wordml" w:rsidP="480B13F4" wp14:paraId="406C8567" wp14:textId="46B1695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Certain periods showed backlog accumulation in HHS care.</w:t>
      </w:r>
    </w:p>
    <w:p xmlns:wp14="http://schemas.microsoft.com/office/word/2010/wordml" w:rsidP="480B13F4" wp14:paraId="14778584" wp14:textId="6484C72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0B13F4" w:rsidR="695C33D0">
        <w:rPr>
          <w:rFonts w:ascii="Aptos" w:hAnsi="Aptos" w:eastAsia="Aptos" w:cs="Aptos"/>
          <w:noProof w:val="0"/>
          <w:sz w:val="24"/>
          <w:szCs w:val="24"/>
          <w:lang w:val="en-US"/>
        </w:rPr>
        <w:t>Efficiency fluctuated indicating process inconsistencies.</w:t>
      </w:r>
    </w:p>
    <w:p xmlns:wp14="http://schemas.microsoft.com/office/word/2010/wordml" wp14:paraId="389F3553" wp14:textId="652BBB22"/>
    <w:p xmlns:wp14="http://schemas.microsoft.com/office/word/2010/wordml" w:rsidP="480B13F4" wp14:paraId="3266E67F" wp14:textId="31148109">
      <w:pPr>
        <w:pStyle w:val="Heading2"/>
        <w:spacing w:before="299" w:beforeAutospacing="off" w:after="299" w:afterAutospacing="off"/>
      </w:pPr>
      <w:r w:rsidRPr="480B13F4" w:rsidR="695C33D0">
        <w:rPr>
          <w:rFonts w:ascii="Aptos" w:hAnsi="Aptos" w:eastAsia="Aptos" w:cs="Aptos"/>
          <w:b w:val="1"/>
          <w:bCs w:val="1"/>
          <w:noProof w:val="0"/>
          <w:sz w:val="36"/>
          <w:szCs w:val="36"/>
          <w:lang w:val="en-US"/>
        </w:rPr>
        <w:t>5. Conclusion &amp; Recommendations</w:t>
      </w:r>
    </w:p>
    <w:p xmlns:wp14="http://schemas.microsoft.com/office/word/2010/wordml" w:rsidP="480B13F4" wp14:paraId="04824684" wp14:textId="1A5DA702">
      <w:pPr>
        <w:spacing w:before="240" w:beforeAutospacing="off" w:after="240" w:afterAutospacing="off"/>
      </w:pPr>
      <w:r w:rsidRPr="480B13F4" w:rsidR="695C33D0">
        <w:rPr>
          <w:rFonts w:ascii="Aptos" w:hAnsi="Aptos" w:eastAsia="Aptos" w:cs="Aptos"/>
          <w:noProof w:val="0"/>
          <w:sz w:val="24"/>
          <w:szCs w:val="24"/>
          <w:lang w:val="en-US"/>
        </w:rPr>
        <w:t>The analysis highlights the importance of monitoring process efficiency, not just capacity. Improving discharge rates and reducing transition delays can enhance system performance and ensure faster reunification outcomes.</w:t>
      </w:r>
    </w:p>
    <w:p xmlns:wp14="http://schemas.microsoft.com/office/word/2010/wordml" wp14:paraId="2C078E63" wp14:textId="2E7F217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72c2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83e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4d8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F7DDE2"/>
    <w:rsid w:val="480B13F4"/>
    <w:rsid w:val="695C33D0"/>
    <w:rsid w:val="77F7D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780E"/>
  <w15:chartTrackingRefBased/>
  <w15:docId w15:val="{25445132-4F2D-4404-8CB9-3EB6701221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80B13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80B13F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d1b25550d3547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2026-02-13T18:37:13.2571396Z</dcterms:created>
  <dcterms:modified xsi:type="dcterms:W3CDTF">2026-02-13T18:38:36.0861070Z</dcterms:modified>
  <dc:creator>Ahatsham Khan</dc:creator>
  <lastModifiedBy>Ahatsham Khan</lastModifiedBy>
</coreProperties>
</file>