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41698F">
      <w:pPr>
        <w:rPr>
          <w:lang w:val="fr-BE"/>
        </w:rPr>
      </w:pPr>
      <w:r>
        <w:rPr>
          <w:lang w:val="fr-BE"/>
        </w:rPr>
        <w:t xml:space="preserve">Implémentation d'un </w:t>
      </w:r>
      <w:proofErr w:type="spellStart"/>
      <w:r>
        <w:rPr>
          <w:lang w:val="fr-BE"/>
        </w:rPr>
        <w:t>qubit</w:t>
      </w:r>
      <w:proofErr w:type="spellEnd"/>
      <w:r>
        <w:rPr>
          <w:lang w:val="fr-BE"/>
        </w:rPr>
        <w:t xml:space="preserve"> par un système quantique à deux états.</w:t>
      </w:r>
    </w:p>
    <w:p w:rsidR="0041698F" w:rsidRDefault="0041698F">
      <w:pPr>
        <w:rPr>
          <w:lang w:val="fr-BE"/>
        </w:rPr>
      </w:pPr>
    </w:p>
    <w:p w:rsidR="0041698F" w:rsidRDefault="0041698F">
      <w:pPr>
        <w:rPr>
          <w:lang w:val="fr-BE"/>
        </w:rPr>
      </w:pPr>
      <w:r>
        <w:rPr>
          <w:lang w:val="fr-BE"/>
        </w:rPr>
        <w:t xml:space="preserve">Sous certaines hypothèses raisonnablement générales, tout système quantique à deux états peut être décrit au moyen du formalisme suivant. </w:t>
      </w:r>
    </w:p>
    <w:p w:rsidR="0041698F" w:rsidRPr="0041698F" w:rsidRDefault="0041698F">
      <w:pPr>
        <w:rPr>
          <w:rFonts w:eastAsiaTheme="minorEastAsia"/>
          <w:lang w:val="fr-BE"/>
        </w:rPr>
      </w:pPr>
      <w:r>
        <w:rPr>
          <w:lang w:val="fr-BE"/>
        </w:rPr>
        <w:t>La fonction d'onde (vecteur d'état) se note indifféremment :</w:t>
      </w:r>
    </w:p>
    <w:p w:rsidR="0041698F" w:rsidRPr="0041698F" w:rsidRDefault="0041698F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 ψ(t)=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c</m:t>
              </m:r>
            </m:e>
            <m:sub>
              <m:r>
                <w:rPr>
                  <w:rFonts w:ascii="Cambria Math" w:hAnsi="Cambria Math"/>
                  <w:lang w:val="fr-BE"/>
                </w:rPr>
                <m:t>1</m:t>
              </m:r>
            </m:sub>
          </m:sSub>
          <m:r>
            <w:rPr>
              <w:rFonts w:ascii="Cambria Math" w:hAnsi="Cambria Math"/>
              <w:lang w:val="fr-BE"/>
            </w:rPr>
            <m:t>(t)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hAnsi="Cambria Math"/>
                  <w:lang w:val="fr-BE"/>
                </w:rPr>
                <m:t>|0</m:t>
              </m:r>
            </m:e>
          </m:d>
          <m:r>
            <w:rPr>
              <w:rFonts w:ascii="Cambria Math" w:hAnsi="Cambria Math"/>
              <w:lang w:val="fr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c</m:t>
              </m:r>
            </m:e>
            <m:sub>
              <m:r>
                <w:rPr>
                  <w:rFonts w:ascii="Cambria Math" w:hAnsi="Cambria Math"/>
                  <w:lang w:val="fr-BE"/>
                </w:rPr>
                <m:t>2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hAnsi="Cambria Math"/>
                  <w:lang w:val="fr-BE"/>
                </w:rPr>
                <m:t>(t)|1</m:t>
              </m:r>
            </m:e>
          </m:d>
          <m:r>
            <w:rPr>
              <w:rFonts w:ascii="Cambria Math" w:hAnsi="Cambria Math"/>
              <w:lang w:val="fr-B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B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B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BE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B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B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fr-BE"/>
                      </w:rPr>
                      <m:t>(t)</m:t>
                    </m:r>
                  </m:e>
                </m:mr>
              </m:m>
            </m:e>
          </m:d>
        </m:oMath>
      </m:oMathPara>
    </w:p>
    <w:p w:rsidR="0041698F" w:rsidRDefault="0041698F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L</w:t>
      </w:r>
      <w:r w:rsidR="002432BB">
        <w:rPr>
          <w:rFonts w:eastAsiaTheme="minorEastAsia"/>
          <w:lang w:val="fr-BE"/>
        </w:rPr>
        <w:t>'équation d'évolution se note :</w:t>
      </w:r>
    </w:p>
    <w:p w:rsidR="0041698F" w:rsidRDefault="002432BB">
      <w:pPr>
        <w:rPr>
          <w:rFonts w:eastAsiaTheme="minorEastAsia"/>
          <w:lang w:val="fr-BE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lang w:val="fr-BE"/>
            </w:rPr>
            <m:t>iℏ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BE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fr-BE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B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B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BE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B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BE"/>
            </w:rPr>
            <m:t xml:space="preserve">   →   </m:t>
          </m:r>
          <m:r>
            <m:rPr>
              <m:sty m:val="p"/>
            </m:rPr>
            <w:rPr>
              <w:rFonts w:ascii="Cambria Math" w:hAnsi="Cambria Math"/>
              <w:position w:val="-24"/>
            </w:rPr>
            <w:object w:dxaOrig="2560" w:dyaOrig="6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27.9pt;height:31.9pt" o:ole="">
                <v:imagedata r:id="rId4" o:title=""/>
              </v:shape>
              <o:OLEObject Type="Embed" ProgID="Equation.3" ShapeID="_x0000_i1032" DrawAspect="Content" ObjectID="_1449599647" r:id="rId5"/>
            </w:object>
          </m:r>
        </m:oMath>
      </m:oMathPara>
      <w:bookmarkEnd w:id="0"/>
    </w:p>
    <w:p w:rsidR="002432BB" w:rsidRDefault="002432BB">
      <w:pPr>
        <w:rPr>
          <w:lang w:val="fr-BE"/>
        </w:rPr>
      </w:pPr>
    </w:p>
    <w:p w:rsidR="002432BB" w:rsidRDefault="002432BB">
      <w:pPr>
        <w:rPr>
          <w:lang w:val="fr-BE"/>
        </w:rPr>
      </w:pPr>
      <w:r>
        <w:rPr>
          <w:lang w:val="fr-BE"/>
        </w:rPr>
        <w:t>Lorsque les termes non diagonaux sont nuls les normes de c</w:t>
      </w:r>
      <w:r w:rsidRPr="002432BB">
        <w:rPr>
          <w:vertAlign w:val="subscript"/>
          <w:lang w:val="fr-BE"/>
        </w:rPr>
        <w:t>1</w:t>
      </w:r>
      <w:r>
        <w:rPr>
          <w:lang w:val="fr-BE"/>
        </w:rPr>
        <w:t xml:space="preserve"> et c</w:t>
      </w:r>
      <w:r w:rsidRPr="002432BB">
        <w:rPr>
          <w:vertAlign w:val="subscript"/>
          <w:lang w:val="fr-BE"/>
        </w:rPr>
        <w:t>2</w:t>
      </w:r>
      <w:r>
        <w:rPr>
          <w:lang w:val="fr-BE"/>
        </w:rPr>
        <w:t xml:space="preserve"> demeurent invariables (seules les phases changent) : le système préparé dans l'un ou l'autre état (0 ou 1) y reste éternellement.  Simplifions le problème en posant que les deux états sont symétriques au plan énergétique, d'où H</w:t>
      </w:r>
      <w:r w:rsidRPr="002432BB">
        <w:rPr>
          <w:vertAlign w:val="subscript"/>
          <w:lang w:val="fr-BE"/>
        </w:rPr>
        <w:t>11</w:t>
      </w:r>
      <w:r>
        <w:rPr>
          <w:lang w:val="fr-BE"/>
        </w:rPr>
        <w:t>=H</w:t>
      </w:r>
      <w:r w:rsidRPr="002432BB">
        <w:rPr>
          <w:vertAlign w:val="subscript"/>
          <w:lang w:val="fr-BE"/>
        </w:rPr>
        <w:t>22</w:t>
      </w:r>
      <w:r>
        <w:rPr>
          <w:lang w:val="fr-BE"/>
        </w:rPr>
        <w:t>=E</w:t>
      </w:r>
      <w:r w:rsidRPr="002432BB">
        <w:rPr>
          <w:vertAlign w:val="subscript"/>
          <w:lang w:val="fr-BE"/>
        </w:rPr>
        <w:t>0</w:t>
      </w:r>
      <w:r>
        <w:rPr>
          <w:lang w:val="fr-BE"/>
        </w:rPr>
        <w:t>.  Une illustration possible serait un système oscillatoire évoluant dans un potentiel en forme de cuvette double et symétrique.</w:t>
      </w:r>
    </w:p>
    <w:p w:rsidR="002432BB" w:rsidRDefault="00D84F50" w:rsidP="00D84F50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519237" cy="1161769"/>
            <wp:effectExtent l="0" t="0" r="508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98" cy="11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BB" w:rsidRDefault="002432BB">
      <w:pPr>
        <w:rPr>
          <w:lang w:val="fr-BE"/>
        </w:rPr>
      </w:pPr>
    </w:p>
    <w:p w:rsidR="0041698F" w:rsidRDefault="00093B85">
      <w:pPr>
        <w:rPr>
          <w:lang w:val="fr-BE"/>
        </w:rPr>
      </w:pPr>
      <w:r>
        <w:rPr>
          <w:lang w:val="fr-BE"/>
        </w:rPr>
        <w:t xml:space="preserve">Lorsque les termes non diagonaux sont non nuls, ils demeurent complexe-conjugués, d'où le </w:t>
      </w:r>
      <w:proofErr w:type="spellStart"/>
      <w:r>
        <w:rPr>
          <w:lang w:val="fr-BE"/>
        </w:rPr>
        <w:t>hamiltonien</w:t>
      </w:r>
      <w:proofErr w:type="spellEnd"/>
      <w:r>
        <w:rPr>
          <w:lang w:val="fr-BE"/>
        </w:rPr>
        <w:t xml:space="preserve"> général,</w:t>
      </w:r>
    </w:p>
    <w:p w:rsidR="00093B85" w:rsidRPr="00A963F3" w:rsidRDefault="00093B85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>H=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BE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BE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fr-BE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BE"/>
                      </w:rPr>
                      <m:t>-A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BE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BE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A963F3" w:rsidRPr="00093B85" w:rsidRDefault="00A963F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Et la solution,</w:t>
      </w:r>
    </w:p>
    <w:p w:rsidR="00093B85" w:rsidRDefault="00093B85">
      <w:pPr>
        <w:rPr>
          <w:rFonts w:eastAsiaTheme="minorEastAsia"/>
          <w:lang w:val="fr-BE"/>
        </w:rPr>
      </w:pPr>
    </w:p>
    <w:p w:rsidR="00093B85" w:rsidRPr="00093B85" w:rsidRDefault="00AC3825" w:rsidP="00093B85">
      <w:pPr>
        <w:rPr>
          <w:rFonts w:eastAsiaTheme="minorEastAsia"/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C</m:t>
              </m:r>
            </m:e>
            <m:sub>
              <m:r>
                <w:rPr>
                  <w:rFonts w:ascii="Cambria Math" w:hAnsi="Cambria Math"/>
                  <w:lang w:val="fr-BE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hAnsi="Cambria Math"/>
                  <w:lang w:val="fr-BE"/>
                </w:rPr>
                <m:t>t</m:t>
              </m:r>
            </m:e>
          </m:d>
          <m:r>
            <w:rPr>
              <w:rFonts w:ascii="Cambria Math" w:hAnsi="Cambria Math"/>
              <w:lang w:val="fr-BE"/>
            </w:rPr>
            <m:t>=λ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fr-BE"/>
            </w:rPr>
            <m:t>+μ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</m:oMath>
      </m:oMathPara>
    </w:p>
    <w:p w:rsidR="00093B85" w:rsidRPr="00093B85" w:rsidRDefault="00AC3825" w:rsidP="00093B85">
      <w:pPr>
        <w:rPr>
          <w:rFonts w:eastAsiaTheme="minorEastAsia"/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C</m:t>
              </m:r>
            </m:e>
            <m:sub>
              <m:r>
                <w:rPr>
                  <w:rFonts w:ascii="Cambria Math" w:hAnsi="Cambria Math"/>
                  <w:lang w:val="fr-B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hAnsi="Cambria Math"/>
                  <w:lang w:val="fr-BE"/>
                </w:rPr>
                <m:t>t</m:t>
              </m:r>
            </m:e>
          </m:d>
          <m:r>
            <w:rPr>
              <w:rFonts w:ascii="Cambria Math" w:hAnsi="Cambria Math"/>
              <w:lang w:val="fr-BE"/>
            </w:rPr>
            <m:t>=λ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fr-BE"/>
            </w:rPr>
            <m:t>-μ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</m:oMath>
      </m:oMathPara>
    </w:p>
    <w:p w:rsidR="00093B85" w:rsidRPr="00093B85" w:rsidRDefault="0033499B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B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BE"/>
            </w:rPr>
            <m:t>=</m:t>
          </m:r>
          <m:r>
            <w:rPr>
              <w:rFonts w:ascii="Cambria Math" w:hAnsi="Cambria Math"/>
              <w:lang w:val="fr-BE"/>
            </w:rPr>
            <m:t xml:space="preserve"> λ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-A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|0</m:t>
                  </m:r>
                </m:e>
              </m:d>
              <m:r>
                <w:rPr>
                  <w:rFonts w:ascii="Cambria Math" w:hAnsi="Cambria Math"/>
                  <w:lang w:val="fr-BE"/>
                </w:rPr>
                <m:t>+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|1</m:t>
                  </m:r>
                </m:e>
              </m:d>
            </m:e>
          </m:d>
          <m:r>
            <w:rPr>
              <w:rFonts w:ascii="Cambria Math" w:hAnsi="Cambria Math"/>
              <w:lang w:val="fr-BE"/>
            </w:rPr>
            <m:t>+μ</m:t>
          </m:r>
          <m:func>
            <m:funcPr>
              <m:ctrlPr>
                <w:rPr>
                  <w:rFonts w:ascii="Cambria Math" w:hAnsi="Cambria Math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BE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ℏ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BE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lang w:val="fr-BE"/>
                    </w:rPr>
                    <m:t>t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|0</m:t>
                  </m:r>
                </m:e>
              </m:d>
              <m:r>
                <w:rPr>
                  <w:rFonts w:ascii="Cambria Math" w:hAnsi="Cambria Math"/>
                  <w:lang w:val="fr-BE"/>
                </w:rPr>
                <m:t>-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BE"/>
                    </w:rPr>
                    <m:t>|1</m:t>
                  </m:r>
                </m:e>
              </m:d>
            </m:e>
          </m:d>
        </m:oMath>
      </m:oMathPara>
    </w:p>
    <w:p w:rsidR="0001266C" w:rsidRDefault="00207321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</w:t>
      </w:r>
      <w:r w:rsidR="00A963F3">
        <w:rPr>
          <w:rFonts w:eastAsiaTheme="minorEastAsia"/>
          <w:lang w:val="fr-BE"/>
        </w:rPr>
        <w:t xml:space="preserve">i </w:t>
      </w:r>
      <w:r w:rsidR="00A963F3" w:rsidRPr="00A963F3">
        <w:rPr>
          <w:rFonts w:ascii="Symbol" w:eastAsiaTheme="minorEastAsia" w:hAnsi="Symbol"/>
          <w:lang w:val="fr-BE"/>
        </w:rPr>
        <w:t></w:t>
      </w:r>
      <w:r w:rsidR="00A963F3">
        <w:rPr>
          <w:rFonts w:eastAsiaTheme="minorEastAsia"/>
          <w:lang w:val="fr-BE"/>
        </w:rPr>
        <w:t xml:space="preserve"> ou </w:t>
      </w:r>
      <w:r w:rsidR="00A963F3" w:rsidRPr="00A963F3">
        <w:rPr>
          <w:rFonts w:ascii="Symbol" w:eastAsiaTheme="minorEastAsia" w:hAnsi="Symbol"/>
          <w:lang w:val="fr-BE"/>
        </w:rPr>
        <w:t></w:t>
      </w:r>
      <w:r w:rsidR="00A963F3">
        <w:rPr>
          <w:rFonts w:eastAsiaTheme="minorEastAsia"/>
          <w:lang w:val="fr-BE"/>
        </w:rPr>
        <w:t xml:space="preserve"> sont nuls, le système apparaît dans deux états énergétiques distincts, quoique peu différents, E</w:t>
      </w:r>
      <w:r w:rsidR="00A963F3" w:rsidRPr="00A963F3">
        <w:rPr>
          <w:rFonts w:eastAsiaTheme="minorEastAsia"/>
          <w:vertAlign w:val="subscript"/>
          <w:lang w:val="fr-BE"/>
        </w:rPr>
        <w:t>0</w:t>
      </w:r>
      <w:r w:rsidR="00A963F3">
        <w:rPr>
          <w:rFonts w:eastAsiaTheme="minorEastAsia"/>
          <w:lang w:val="fr-BE"/>
        </w:rPr>
        <w:t>-A et E</w:t>
      </w:r>
      <w:r w:rsidR="00A963F3" w:rsidRPr="00A963F3">
        <w:rPr>
          <w:rFonts w:eastAsiaTheme="minorEastAsia"/>
          <w:vertAlign w:val="subscript"/>
          <w:lang w:val="fr-BE"/>
        </w:rPr>
        <w:t>0</w:t>
      </w:r>
      <w:r w:rsidR="00A963F3">
        <w:rPr>
          <w:rFonts w:eastAsiaTheme="minorEastAsia"/>
          <w:lang w:val="fr-BE"/>
        </w:rPr>
        <w:t xml:space="preserve">+A, un effet sans équivalent classique. </w:t>
      </w:r>
      <w:r>
        <w:rPr>
          <w:rFonts w:eastAsiaTheme="minorEastAsia"/>
          <w:lang w:val="fr-BE"/>
        </w:rPr>
        <w:t>Le vecteur d'état superpose (anti)symétriquement les états de base.</w:t>
      </w:r>
      <w:r w:rsidR="00A963F3">
        <w:rPr>
          <w:rFonts w:eastAsiaTheme="minorEastAsia"/>
          <w:lang w:val="fr-BE"/>
        </w:rPr>
        <w:t xml:space="preserve"> </w:t>
      </w:r>
      <w:r>
        <w:rPr>
          <w:rFonts w:eastAsiaTheme="minorEastAsia"/>
          <w:lang w:val="fr-BE"/>
        </w:rPr>
        <w:t xml:space="preserve">Ce sont les seuls états stationnaires : </w:t>
      </w:r>
      <w:r w:rsidR="0040463A">
        <w:rPr>
          <w:rFonts w:eastAsiaTheme="minorEastAsia"/>
          <w:lang w:val="fr-BE"/>
        </w:rPr>
        <w:t xml:space="preserve">si, en t=0, le système se trouve dans l'un des états </w:t>
      </w:r>
      <m:oMath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fr-BE"/>
              </w:rPr>
              <m:t>|0</m:t>
            </m:r>
            <m:r>
              <w:rPr>
                <w:rFonts w:ascii="Cambria Math" w:eastAsiaTheme="minorEastAsia" w:hAnsi="Cambria Math" w:cs="Cambria Math"/>
                <w:lang w:val="fr-BE"/>
              </w:rPr>
              <m:t>⟩</m:t>
            </m:r>
            <m:r>
              <w:rPr>
                <w:rFonts w:ascii="Cambria Math" w:eastAsiaTheme="minorEastAsia" w:hAnsi="Cambria Math"/>
                <w:lang w:val="fr-BE"/>
              </w:rPr>
              <m:t>+ |1</m:t>
            </m:r>
            <m:r>
              <w:rPr>
                <w:rFonts w:ascii="Cambria Math" w:eastAsiaTheme="minorEastAsia" w:hAnsi="Cambria Math" w:cs="Cambria Math"/>
                <w:lang w:val="fr-BE"/>
              </w:rPr>
              <m:t>⟩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e>
            </m:rad>
          </m:den>
        </m:f>
      </m:oMath>
      <w:r w:rsidR="0040463A">
        <w:rPr>
          <w:rFonts w:eastAsiaTheme="minorEastAsia"/>
          <w:lang w:val="fr-BE"/>
        </w:rPr>
        <w:t xml:space="preserve"> ou </w:t>
      </w:r>
      <m:oMath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d>
              <m:dPr>
                <m:begChr m:val="|"/>
                <m:endChr m:val="⟩"/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BE"/>
                  </w:rPr>
                  <m:t>0</m:t>
                </m:r>
                <m:ctrlPr>
                  <w:rPr>
                    <w:rFonts w:ascii="Cambria Math" w:eastAsiaTheme="minorEastAsia" w:hAnsi="Cambria Math" w:cs="Cambria Math"/>
                    <w:i/>
                    <w:lang w:val="fr-BE"/>
                  </w:rPr>
                </m:ctrlPr>
              </m:e>
            </m:d>
            <m:r>
              <w:rPr>
                <w:rFonts w:ascii="Cambria Math" w:eastAsiaTheme="minorEastAsia" w:hAnsi="Cambria Math"/>
                <w:lang w:val="fr-BE"/>
              </w:rPr>
              <m:t>- |1</m:t>
            </m:r>
            <m:r>
              <w:rPr>
                <w:rFonts w:ascii="Cambria Math" w:eastAsiaTheme="minorEastAsia" w:hAnsi="Cambria Math" w:cs="Cambria Math"/>
                <w:lang w:val="fr-BE"/>
              </w:rPr>
              <m:t>⟩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fr-BE"/>
          </w:rPr>
          <m:t xml:space="preserve">, </m:t>
        </m:r>
      </m:oMath>
      <w:r w:rsidR="0040463A">
        <w:rPr>
          <w:rFonts w:eastAsiaTheme="minorEastAsia"/>
          <w:lang w:val="fr-BE"/>
        </w:rPr>
        <w:t>alors, sauf action extérieure,  il y reste pour toujours</w:t>
      </w:r>
      <w:r>
        <w:rPr>
          <w:rFonts w:eastAsiaTheme="minorEastAsia"/>
          <w:lang w:val="fr-BE"/>
        </w:rPr>
        <w:t xml:space="preserve">.  </w:t>
      </w:r>
      <w:r w:rsidR="0001266C">
        <w:rPr>
          <w:rFonts w:eastAsiaTheme="minorEastAsia"/>
          <w:lang w:val="fr-BE"/>
        </w:rPr>
        <w:t>L'action extérieure peut être un champ électrique à la fréquence de résonance qui correspond à, h</w:t>
      </w:r>
      <w:r w:rsidR="0001266C" w:rsidRPr="0001266C">
        <w:rPr>
          <w:rFonts w:ascii="Symbol" w:eastAsiaTheme="minorEastAsia" w:hAnsi="Symbol"/>
          <w:lang w:val="fr-BE"/>
        </w:rPr>
        <w:t></w:t>
      </w:r>
      <w:r w:rsidR="0001266C">
        <w:rPr>
          <w:rFonts w:eastAsiaTheme="minorEastAsia"/>
          <w:lang w:val="fr-BE"/>
        </w:rPr>
        <w:t>=2A.</w:t>
      </w:r>
    </w:p>
    <w:p w:rsidR="0001266C" w:rsidRDefault="0001266C">
      <w:pPr>
        <w:rPr>
          <w:rFonts w:eastAsiaTheme="minorEastAsia"/>
          <w:lang w:val="fr-BE"/>
        </w:rPr>
      </w:pPr>
    </w:p>
    <w:p w:rsidR="00093B85" w:rsidRDefault="00207321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lastRenderedPageBreak/>
        <w:t xml:space="preserve">Tous les autres états pour lesquels </w:t>
      </w:r>
      <w:r w:rsidR="00AE0680" w:rsidRPr="00AE0680">
        <w:rPr>
          <w:rFonts w:ascii="Symbol" w:eastAsiaTheme="minorEastAsia" w:hAnsi="Symbol"/>
          <w:lang w:val="fr-BE"/>
        </w:rPr>
        <w:t></w:t>
      </w:r>
      <w:r w:rsidR="00AE0680">
        <w:rPr>
          <w:rFonts w:eastAsiaTheme="minorEastAsia"/>
          <w:lang w:val="fr-BE"/>
        </w:rPr>
        <w:t xml:space="preserve"> </w:t>
      </w:r>
      <w:r>
        <w:rPr>
          <w:rFonts w:eastAsiaTheme="minorEastAsia"/>
          <w:lang w:val="fr-BE"/>
        </w:rPr>
        <w:t>et</w:t>
      </w:r>
      <w:r w:rsidR="00A963F3">
        <w:rPr>
          <w:rFonts w:eastAsiaTheme="minorEastAsia"/>
          <w:lang w:val="fr-BE"/>
        </w:rPr>
        <w:t xml:space="preserve"> </w:t>
      </w:r>
      <w:r w:rsidR="00AE0680" w:rsidRPr="00AE0680">
        <w:rPr>
          <w:rFonts w:ascii="Symbol" w:eastAsiaTheme="minorEastAsia" w:hAnsi="Symbol"/>
          <w:lang w:val="fr-BE"/>
        </w:rPr>
        <w:t></w:t>
      </w:r>
      <w:r w:rsidR="00AE0680">
        <w:rPr>
          <w:rFonts w:eastAsiaTheme="minorEastAsia"/>
          <w:lang w:val="fr-BE"/>
        </w:rPr>
        <w:t xml:space="preserve"> </w:t>
      </w:r>
      <w:r>
        <w:rPr>
          <w:rFonts w:eastAsiaTheme="minorEastAsia"/>
          <w:lang w:val="fr-BE"/>
        </w:rPr>
        <w:t>diffèrent de 0</w:t>
      </w:r>
      <w:r w:rsidR="00AE0680">
        <w:rPr>
          <w:rFonts w:eastAsiaTheme="minorEastAsia"/>
          <w:lang w:val="fr-BE"/>
        </w:rPr>
        <w:t xml:space="preserve">, </w:t>
      </w:r>
      <w:r>
        <w:rPr>
          <w:rFonts w:eastAsiaTheme="minorEastAsia"/>
          <w:lang w:val="fr-BE"/>
        </w:rPr>
        <w:t xml:space="preserve">se caractérisent par une oscillation du vecteur d'état entre les états stationnaires. </w:t>
      </w:r>
    </w:p>
    <w:p w:rsidR="0001266C" w:rsidRPr="0084774C" w:rsidRDefault="00091940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>H=-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BE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fr-BE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BE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fr-B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B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BE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BE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4774C" w:rsidRDefault="0084774C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BE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BE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4C7822" w:rsidRDefault="00091940" w:rsidP="00207321">
      <w:pPr>
        <w:tabs>
          <w:tab w:val="left" w:pos="7980"/>
        </w:tabs>
        <w:rPr>
          <w:rFonts w:eastAsiaTheme="minorEastAsia"/>
          <w:lang w:val="fr-BE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32"/>
            </w:rPr>
            <w:object w:dxaOrig="8880" w:dyaOrig="780">
              <v:shape id="_x0000_i1025" type="#_x0000_t75" style="width:444pt;height:39pt" o:ole="">
                <v:imagedata r:id="rId7" o:title=""/>
              </v:shape>
              <o:OLEObject Type="Embed" ProgID="Equation.3" ShapeID="_x0000_i1025" DrawAspect="Content" ObjectID="_1449599648" r:id="rId8"/>
            </w:object>
          </m:r>
        </m:oMath>
      </m:oMathPara>
    </w:p>
    <w:p w:rsidR="004C7822" w:rsidRDefault="00630DE3">
      <w:pPr>
        <w:rPr>
          <w:lang w:val="fr-BE"/>
        </w:rPr>
      </w:pPr>
      <w:r>
        <w:rPr>
          <w:lang w:val="fr-BE"/>
        </w:rPr>
        <w:t>+</w:t>
      </w:r>
    </w:p>
    <w:p w:rsidR="004C7822" w:rsidRDefault="00091940">
      <w:pPr>
        <w:rPr>
          <w:lang w:val="fr-BE"/>
        </w:rPr>
      </w:pPr>
      <w:r w:rsidRPr="009F3D41">
        <w:rPr>
          <w:position w:val="-32"/>
          <w:lang w:val="fr-BE"/>
        </w:rPr>
        <w:object w:dxaOrig="8880" w:dyaOrig="780">
          <v:shape id="_x0000_i1026" type="#_x0000_t75" style="width:444pt;height:39pt" o:ole="">
            <v:imagedata r:id="rId9" o:title=""/>
          </v:shape>
          <o:OLEObject Type="Embed" ProgID="Equation.3" ShapeID="_x0000_i1026" DrawAspect="Content" ObjectID="_1449599649" r:id="rId10"/>
        </w:object>
      </w:r>
    </w:p>
    <w:p w:rsidR="004C7822" w:rsidRDefault="007F5D0E">
      <w:pPr>
        <w:rPr>
          <w:lang w:val="fr-BE"/>
        </w:rPr>
      </w:pPr>
      <w:r w:rsidRPr="007E0AE8">
        <w:rPr>
          <w:position w:val="-58"/>
          <w:lang w:val="fr-BE"/>
        </w:rPr>
        <w:object w:dxaOrig="8680" w:dyaOrig="1280">
          <v:shape id="_x0000_i1027" type="#_x0000_t75" style="width:433.9pt;height:64.15pt" o:ole="">
            <v:imagedata r:id="rId11" o:title=""/>
          </v:shape>
          <o:OLEObject Type="Embed" ProgID="Equation.3" ShapeID="_x0000_i1027" DrawAspect="Content" ObjectID="_1449599650" r:id="rId12"/>
        </w:object>
      </w:r>
    </w:p>
    <w:p w:rsidR="004C7822" w:rsidRDefault="004C7822">
      <w:pPr>
        <w:rPr>
          <w:lang w:val="fr-BE"/>
        </w:rPr>
      </w:pPr>
    </w:p>
    <w:p w:rsidR="004C7822" w:rsidRDefault="007F5D0E">
      <w:pPr>
        <w:rPr>
          <w:lang w:val="fr-BE"/>
        </w:rPr>
      </w:pPr>
      <w:r w:rsidRPr="00722BC9">
        <w:rPr>
          <w:position w:val="-154"/>
          <w:lang w:val="fr-BE"/>
        </w:rPr>
        <w:object w:dxaOrig="7699" w:dyaOrig="2640">
          <v:shape id="_x0000_i1028" type="#_x0000_t75" style="width:385.5pt;height:132pt" o:ole="">
            <v:imagedata r:id="rId13" o:title=""/>
          </v:shape>
          <o:OLEObject Type="Embed" ProgID="Equation.3" ShapeID="_x0000_i1028" DrawAspect="Content" ObjectID="_1449599651" r:id="rId14"/>
        </w:object>
      </w:r>
    </w:p>
    <w:p w:rsidR="00A2096C" w:rsidRDefault="00AC3825">
      <w:r w:rsidRPr="007F5D0E">
        <w:rPr>
          <w:position w:val="-60"/>
        </w:rPr>
        <w:object w:dxaOrig="8160" w:dyaOrig="1320">
          <v:shape id="_x0000_i1029" type="#_x0000_t75" style="width:408pt;height:66pt" o:ole="">
            <v:imagedata r:id="rId15" o:title=""/>
          </v:shape>
          <o:OLEObject Type="Embed" ProgID="Equation.3" ShapeID="_x0000_i1029" DrawAspect="Content" ObjectID="_1449599652" r:id="rId16"/>
        </w:object>
      </w:r>
    </w:p>
    <w:p w:rsidR="00AC3825" w:rsidRDefault="00AC3825">
      <w:r w:rsidRPr="00A8240E">
        <w:rPr>
          <w:position w:val="-24"/>
        </w:rPr>
        <w:object w:dxaOrig="7699" w:dyaOrig="660">
          <v:shape id="_x0000_i1030" type="#_x0000_t75" style="width:385.15pt;height:33pt" o:ole="">
            <v:imagedata r:id="rId17" o:title=""/>
          </v:shape>
          <o:OLEObject Type="Embed" ProgID="Equation.3" ShapeID="_x0000_i1030" DrawAspect="Content" ObjectID="_1449599653" r:id="rId18"/>
        </w:object>
      </w:r>
    </w:p>
    <w:p w:rsidR="00AC3825" w:rsidRPr="007F5D0E" w:rsidRDefault="00AC3825">
      <w:pPr>
        <w:rPr>
          <w:rFonts w:eastAsiaTheme="minorEastAsia"/>
          <w:b/>
          <w:lang w:val="fr-BE"/>
        </w:rPr>
      </w:pPr>
      <w:r w:rsidRPr="00A8240E">
        <w:rPr>
          <w:position w:val="-24"/>
        </w:rPr>
        <w:object w:dxaOrig="2580" w:dyaOrig="639">
          <v:shape id="_x0000_i1031" type="#_x0000_t75" style="width:129pt;height:31.9pt" o:ole="">
            <v:imagedata r:id="rId19" o:title=""/>
          </v:shape>
          <o:OLEObject Type="Embed" ProgID="Equation.3" ShapeID="_x0000_i1031" DrawAspect="Content" ObjectID="_1449599654" r:id="rId20"/>
        </w:object>
      </w:r>
    </w:p>
    <w:sectPr w:rsidR="00AC3825" w:rsidRPr="007F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8F"/>
    <w:rsid w:val="0001266C"/>
    <w:rsid w:val="00091940"/>
    <w:rsid w:val="00093B85"/>
    <w:rsid w:val="00207321"/>
    <w:rsid w:val="002432BB"/>
    <w:rsid w:val="0033499B"/>
    <w:rsid w:val="003F6542"/>
    <w:rsid w:val="0040463A"/>
    <w:rsid w:val="0041698F"/>
    <w:rsid w:val="004C7822"/>
    <w:rsid w:val="00630DE3"/>
    <w:rsid w:val="007F5D0E"/>
    <w:rsid w:val="0084774C"/>
    <w:rsid w:val="00850B23"/>
    <w:rsid w:val="009F3D41"/>
    <w:rsid w:val="00A2096C"/>
    <w:rsid w:val="00A963F3"/>
    <w:rsid w:val="00AC3825"/>
    <w:rsid w:val="00AE0680"/>
    <w:rsid w:val="00CE72C6"/>
    <w:rsid w:val="00D84F50"/>
    <w:rsid w:val="00FB2AEA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A730A-92EC-473B-B370-4AD5934A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styleId="Textedelespacerserv">
    <w:name w:val="Placeholder Text"/>
    <w:basedOn w:val="Policepardfaut"/>
    <w:uiPriority w:val="99"/>
    <w:semiHidden/>
    <w:rsid w:val="00416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2013-11-25T17:28:00Z</dcterms:created>
  <dcterms:modified xsi:type="dcterms:W3CDTF">2013-12-26T20:46:00Z</dcterms:modified>
</cp:coreProperties>
</file>