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14B9" w:rsidRPr="00D914B9" w:rsidRDefault="00D914B9" w:rsidP="00D914B9">
      <w:pPr>
        <w:jc w:val="center"/>
        <w:rPr>
          <w:b/>
        </w:rPr>
      </w:pPr>
      <w:bookmarkStart w:id="0" w:name="_GoBack"/>
      <w:proofErr w:type="spellStart"/>
      <w:r w:rsidRPr="00D914B9">
        <w:rPr>
          <w:rFonts w:ascii="Nyala" w:hAnsi="Nyala" w:cs="Nyala"/>
          <w:b/>
        </w:rPr>
        <w:t>እኩል</w:t>
      </w:r>
      <w:proofErr w:type="spellEnd"/>
      <w:r w:rsidRPr="00D914B9">
        <w:rPr>
          <w:b/>
        </w:rPr>
        <w:t xml:space="preserve"> </w:t>
      </w:r>
      <w:proofErr w:type="spellStart"/>
      <w:r w:rsidRPr="00D914B9">
        <w:rPr>
          <w:rFonts w:ascii="Nyala" w:hAnsi="Nyala" w:cs="Nyala"/>
          <w:b/>
        </w:rPr>
        <w:t>ስልጣን</w:t>
      </w:r>
      <w:proofErr w:type="spellEnd"/>
      <w:r w:rsidRPr="00D914B9">
        <w:rPr>
          <w:b/>
        </w:rPr>
        <w:t xml:space="preserve"> </w:t>
      </w:r>
      <w:proofErr w:type="spellStart"/>
      <w:r w:rsidRPr="00D914B9">
        <w:rPr>
          <w:rFonts w:ascii="Nyala" w:hAnsi="Nyala" w:cs="Nyala"/>
          <w:b/>
        </w:rPr>
        <w:t>ካላቸው</w:t>
      </w:r>
      <w:proofErr w:type="spellEnd"/>
      <w:r w:rsidRPr="00D914B9">
        <w:rPr>
          <w:b/>
        </w:rPr>
        <w:t xml:space="preserve"> </w:t>
      </w:r>
      <w:r w:rsidRPr="00D914B9">
        <w:rPr>
          <w:rFonts w:ascii="Nyala" w:hAnsi="Nyala" w:cs="Nyala"/>
          <w:b/>
        </w:rPr>
        <w:t>በ</w:t>
      </w:r>
      <w:r w:rsidRPr="00D914B9">
        <w:rPr>
          <w:b/>
        </w:rPr>
        <w:t xml:space="preserve"> </w:t>
      </w:r>
      <w:r w:rsidRPr="00D914B9">
        <w:rPr>
          <w:rFonts w:ascii="Nyala" w:hAnsi="Nyala" w:cs="Nyala"/>
          <w:b/>
        </w:rPr>
        <w:t>ዩሐ</w:t>
      </w:r>
      <w:r w:rsidRPr="00D914B9">
        <w:rPr>
          <w:b/>
        </w:rPr>
        <w:t xml:space="preserve">5 </w:t>
      </w:r>
      <w:proofErr w:type="spellStart"/>
      <w:r w:rsidRPr="00D914B9">
        <w:rPr>
          <w:rFonts w:ascii="Nyala" w:hAnsi="Nyala" w:cs="Nyala"/>
          <w:b/>
        </w:rPr>
        <w:t>ለምን</w:t>
      </w:r>
      <w:proofErr w:type="spellEnd"/>
      <w:r w:rsidRPr="00D914B9">
        <w:rPr>
          <w:b/>
        </w:rPr>
        <w:t xml:space="preserve"> </w:t>
      </w:r>
      <w:proofErr w:type="spellStart"/>
      <w:r w:rsidRPr="00D914B9">
        <w:rPr>
          <w:rFonts w:ascii="Nyala" w:hAnsi="Nyala" w:cs="Nyala"/>
          <w:b/>
        </w:rPr>
        <w:t>አብ</w:t>
      </w:r>
      <w:proofErr w:type="spellEnd"/>
      <w:r w:rsidRPr="00D914B9">
        <w:rPr>
          <w:b/>
        </w:rPr>
        <w:t xml:space="preserve"> </w:t>
      </w:r>
      <w:proofErr w:type="spellStart"/>
      <w:r w:rsidRPr="00D914B9">
        <w:rPr>
          <w:rFonts w:ascii="Nyala" w:hAnsi="Nyala" w:cs="Nyala"/>
          <w:b/>
        </w:rPr>
        <w:t>ከእኔ</w:t>
      </w:r>
      <w:proofErr w:type="spellEnd"/>
      <w:r w:rsidRPr="00D914B9">
        <w:rPr>
          <w:b/>
        </w:rPr>
        <w:t xml:space="preserve"> </w:t>
      </w:r>
      <w:proofErr w:type="spellStart"/>
      <w:r w:rsidRPr="00D914B9">
        <w:rPr>
          <w:rFonts w:ascii="Nyala" w:hAnsi="Nyala" w:cs="Nyala"/>
          <w:b/>
        </w:rPr>
        <w:t>ይበልጣል</w:t>
      </w:r>
      <w:proofErr w:type="spellEnd"/>
      <w:r w:rsidRPr="00D914B9">
        <w:rPr>
          <w:b/>
        </w:rPr>
        <w:t xml:space="preserve"> </w:t>
      </w:r>
      <w:proofErr w:type="spellStart"/>
      <w:r w:rsidRPr="00D914B9">
        <w:rPr>
          <w:rFonts w:ascii="Nyala" w:hAnsi="Nyala" w:cs="Nyala"/>
          <w:b/>
        </w:rPr>
        <w:t>አለ</w:t>
      </w:r>
      <w:proofErr w:type="spellEnd"/>
      <w:r w:rsidRPr="00D914B9">
        <w:rPr>
          <w:b/>
        </w:rPr>
        <w:t>?</w:t>
      </w:r>
    </w:p>
    <w:bookmarkEnd w:id="0"/>
    <w:p w:rsidR="00D914B9" w:rsidRDefault="00D914B9">
      <w:r>
        <w:t>The distinction between the Father’s greatness and the Son’s equality lies in the difference between essence and function. Throughout Scripture we observe that the Son is fully divine – sharing the same nature, attributes, power and glory as the Father – yet He relates to the Father as Son, receiving life, authority, and glory from Him. This mirrors Paul’s teaching in 1 Corinthians 11:3, where headship exists without inequality: both woman and man share the same image of God, yet differ in the relational sequence and modality by which the image of God was mediated, hence the difference also in functional headship (man as “head”); likewise, Christ is equal with God, yet God is the head of Christ. The Father is “greater” in the sense of relational source [The Son receives His glory, power, throne, and prerogatives as Judge from the Father (John 3:35; John 5:22)]. The Son delights in submitting to the Father’s authority and we see the Father delighting in exalting the Son.</w:t>
      </w:r>
    </w:p>
    <w:p w:rsidR="00D914B9" w:rsidRDefault="00D914B9">
      <w:r w:rsidRPr="00D914B9">
        <w:rPr>
          <w:b/>
        </w:rPr>
        <w:t xml:space="preserve"> Ontologically, Jesus shares the same divine nature and attributes as the Father, but He voluntarily assumes a position of functional subordination. </w:t>
      </w:r>
      <w:r>
        <w:t>In the immediate context of John 14, Jesus speaks as the incarnate Son, having voluntarily humbled Himself, taking the form of a servant, being born in the likeness of men (Phil. 2:7) and submitted to the Father’s will in His earthly mission being obedient unto death, even the death of the cross.</w:t>
      </w:r>
    </w:p>
    <w:p w:rsidR="00D914B9" w:rsidRDefault="00D914B9">
      <w:r>
        <w:t xml:space="preserve"> After His resurrection, His departure would restore Him to the glory He shared with the Father before the world began (John 17:5). Thus, His words comfort the disciples as His suffering and humiliation of His earthly obedience will end and God would highly exalt him (Phil. 2:9); and if His disciples loved him, they would rejoice in this. Among the three members of the Godhead, we do not see a clamoring for preeminence, vying for recognition, or reveling in power. </w:t>
      </w:r>
    </w:p>
    <w:p w:rsidR="00E4285C" w:rsidRDefault="00D914B9">
      <w:r>
        <w:t xml:space="preserve">Instead, the exact opposite is true. In fact, the Father, Son, and Spirit always seem to be trying to </w:t>
      </w:r>
      <w:proofErr w:type="spellStart"/>
      <w:r>
        <w:t>outgive</w:t>
      </w:r>
      <w:proofErr w:type="spellEnd"/>
      <w:r>
        <w:t xml:space="preserve"> and glorify each other. The Father wants to glorify the Son. The Son lives to glorify the Father, and the Spirit lives to glorify the Father and Son (John 17:1, 5; John 16:14; John 13:31, 32). Within the Godhead, authority flows without rivalry, but with perfect love expressed through joyful, ordered submission.</w:t>
      </w:r>
    </w:p>
    <w:sectPr w:rsidR="00E428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yala">
    <w:panose1 w:val="02000504070300020003"/>
    <w:charset w:val="00"/>
    <w:family w:val="auto"/>
    <w:pitch w:val="variable"/>
    <w:sig w:usb0="A000006F" w:usb1="00000000" w:usb2="000008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4B9"/>
    <w:rsid w:val="00D914B9"/>
    <w:rsid w:val="00E42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479CF2-D91B-43BA-9591-9BAA683D1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353</Words>
  <Characters>2014</Characters>
  <Application>Microsoft Office Word</Application>
  <DocSecurity>0</DocSecurity>
  <Lines>16</Lines>
  <Paragraphs>4</Paragraphs>
  <ScaleCrop>false</ScaleCrop>
  <Company/>
  <LinksUpToDate>false</LinksUpToDate>
  <CharactersWithSpaces>2363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2026-02-17T07:49:00Z</dcterms:created>
  <dcterms:modified xsi:type="dcterms:W3CDTF">2026-02-17T07:52:00Z</dcterms:modified>
</cp:coreProperties>
</file>