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t>Belief in the Prophets and the Divine Books</w:t>
      </w:r>
      <w:r>
        <w:br/>
      </w:r>
      <w:r>
        <w:t>(الإيمان بالرسل والكتب السماوية)</w:t>
      </w:r>
    </w:p>
    <w:p>
      <w:pPr>
        <w:pStyle w:val="style2"/>
        <w:rPr/>
      </w:pPr>
      <w:r>
        <w:t>Introduction</w:t>
      </w:r>
    </w:p>
    <w:p>
      <w:pPr>
        <w:pStyle w:val="style0"/>
        <w:rPr/>
      </w:pPr>
      <w:r>
        <w:t>This essay presents a deep, academically structured, slide-ready explanation of two Articles of Islamic Faith: Belief in the Prophets (الإيمان بالرسل) and Belief in the Revealed Books (الإيمان بالكتب). It includes Arabic Qur’anic texts, English translations, authentic hadiths, and classical tafsīr commentary from scholars such as Ibn Kathīr, al-Ṭabarī, and al-Qurṭubī.</w:t>
      </w:r>
    </w:p>
    <w:p>
      <w:pPr>
        <w:pStyle w:val="style2"/>
        <w:rPr/>
      </w:pPr>
      <w:r>
        <w:t>1. Belief in the Prophets (الإيمان بالرسل)</w:t>
      </w:r>
    </w:p>
    <w:p>
      <w:pPr>
        <w:pStyle w:val="style0"/>
        <w:rPr/>
      </w:pPr>
      <w:r>
        <w:t>Belief in the prophets is the conviction that Allah selected human beings to convey His divine message. Prophets came with truth, guidance, and moral clarity. They were sinless in conveying revelation (maʿṣūmūn). The first prophet was Ādam عليه السلام, and the final prophet is Muḥammad ﷺ.</w:t>
      </w:r>
    </w:p>
    <w:p>
      <w:pPr>
        <w:pStyle w:val="style2"/>
        <w:rPr/>
      </w:pPr>
      <w:r>
        <w:t>Qur’anic Evidence 1 – Qur’an 2:285</w:t>
      </w:r>
    </w:p>
    <w:p>
      <w:pPr>
        <w:pStyle w:val="style0"/>
        <w:rPr/>
      </w:pPr>
      <w:r>
        <w:t>Arabic:</w:t>
      </w:r>
    </w:p>
    <w:p>
      <w:pPr>
        <w:pStyle w:val="style0"/>
        <w:rPr/>
      </w:pPr>
      <w:r>
        <w:t>«آمَنَ الرَّسُولُ بِمَا أُنزِلَ إِلَيْهِ مِن رَّبِّهِ وَالْمُؤْمِنُونَ ۚ كُلٌّ آمَنَ بِاللَّهِ وَمَلَائِكَتِهِ وَكُتُبِهِ وَرُسُلِهِ لَا نُفَرِّقُ بَيْنَ أَحَدٍ مِن رُّسُلِهِ»</w:t>
      </w:r>
    </w:p>
    <w:p>
      <w:pPr>
        <w:pStyle w:val="style0"/>
        <w:rPr/>
      </w:pPr>
    </w:p>
    <w:p>
      <w:pPr>
        <w:pStyle w:val="style0"/>
        <w:rPr/>
      </w:pPr>
      <w:r>
        <w:t>Translation:</w:t>
      </w:r>
    </w:p>
    <w:p>
      <w:pPr>
        <w:pStyle w:val="style0"/>
        <w:rPr/>
      </w:pPr>
      <w:r>
        <w:t>“The Messenger has believed in what was revealed to him from his Lord, and so have the believers. All of them believe in Allah, His angels, His books, and His messengers. We make no distinction between any of His messengers.”</w:t>
      </w:r>
    </w:p>
    <w:p>
      <w:pPr>
        <w:pStyle w:val="style0"/>
        <w:rPr/>
      </w:pPr>
    </w:p>
    <w:p>
      <w:pPr>
        <w:pStyle w:val="style0"/>
        <w:rPr/>
      </w:pPr>
      <w:r>
        <w:t>Tafsīr Notes (Ibn Kathīr):</w:t>
      </w:r>
    </w:p>
    <w:p>
      <w:pPr>
        <w:pStyle w:val="style0"/>
        <w:rPr/>
      </w:pPr>
      <w:r>
        <w:t>- Allah obligates belief in all prophets, without rejecting any.</w:t>
      </w:r>
    </w:p>
    <w:p>
      <w:pPr>
        <w:pStyle w:val="style0"/>
        <w:rPr/>
      </w:pPr>
      <w:r>
        <w:t>- The verse emphasizes the unity of the divine message throughout history.</w:t>
      </w:r>
    </w:p>
    <w:p>
      <w:pPr>
        <w:pStyle w:val="style0"/>
        <w:rPr/>
      </w:pPr>
      <w:r>
        <w:t>- Rejecting even one prophet invalidates a person’s belief.</w:t>
      </w:r>
    </w:p>
    <w:p>
      <w:pPr>
        <w:pStyle w:val="style2"/>
        <w:rPr/>
      </w:pPr>
      <w:r>
        <w:t>Qur’anic Evidence 2 – Qur’an 33:40</w:t>
      </w:r>
    </w:p>
    <w:p>
      <w:pPr>
        <w:pStyle w:val="style0"/>
        <w:rPr/>
      </w:pPr>
      <w:r>
        <w:t>Arabic:</w:t>
      </w:r>
    </w:p>
    <w:p>
      <w:pPr>
        <w:pStyle w:val="style0"/>
        <w:rPr/>
      </w:pPr>
      <w:r>
        <w:t>«مَا كَانَ مُحَمَّدٌ أَبَا أَحَدٍ مِن رِّجَالِكُمْ وَلَـٰكِن رَّسُولَ اللَّهِ وَخَاتَمَ النَّبِيِّينَ»</w:t>
      </w:r>
    </w:p>
    <w:p>
      <w:pPr>
        <w:pStyle w:val="style0"/>
        <w:rPr/>
      </w:pPr>
    </w:p>
    <w:p>
      <w:pPr>
        <w:pStyle w:val="style0"/>
        <w:rPr/>
      </w:pPr>
      <w:r>
        <w:t>Translation:</w:t>
      </w:r>
    </w:p>
    <w:p>
      <w:pPr>
        <w:pStyle w:val="style0"/>
        <w:rPr/>
      </w:pPr>
      <w:r>
        <w:t>“Muhammad is not the father of any of your men, but he is the Messenger of Allah and the seal of the prophets.”</w:t>
      </w:r>
    </w:p>
    <w:p>
      <w:pPr>
        <w:pStyle w:val="style0"/>
        <w:rPr/>
      </w:pPr>
    </w:p>
    <w:p>
      <w:pPr>
        <w:pStyle w:val="style0"/>
        <w:rPr/>
      </w:pPr>
      <w:r>
        <w:t>Tafsīr Notes (al-Ṭabarī &amp; Ibn Kathīr):</w:t>
      </w:r>
    </w:p>
    <w:p>
      <w:pPr>
        <w:pStyle w:val="style0"/>
        <w:rPr/>
      </w:pPr>
      <w:r>
        <w:t>- ‘Seal of the prophets’ (خاتم النبيين) means no prophet will come after him.</w:t>
      </w:r>
    </w:p>
    <w:p>
      <w:pPr>
        <w:pStyle w:val="style0"/>
        <w:rPr/>
      </w:pPr>
      <w:r>
        <w:t>- The finality of prophethood is a cornerstone of Islamic creed.</w:t>
      </w:r>
    </w:p>
    <w:p>
      <w:pPr>
        <w:pStyle w:val="style0"/>
        <w:rPr/>
      </w:pPr>
      <w:r>
        <w:t>- His legislation (Sharīʿah) is universal and final for all humanity.</w:t>
      </w:r>
    </w:p>
    <w:p>
      <w:pPr>
        <w:pStyle w:val="style2"/>
        <w:rPr/>
      </w:pPr>
      <w:r>
        <w:t>Hadith Evidence for Finality</w:t>
      </w:r>
    </w:p>
    <w:p>
      <w:pPr>
        <w:pStyle w:val="style0"/>
        <w:rPr/>
      </w:pPr>
      <w:r>
        <w:t>Arabic:</w:t>
      </w:r>
    </w:p>
    <w:p>
      <w:pPr>
        <w:pStyle w:val="style0"/>
        <w:rPr/>
      </w:pPr>
      <w:r>
        <w:t>«وَإِنَّهُ لَا نَبِيَّ بَعْدِي»</w:t>
      </w:r>
    </w:p>
    <w:p>
      <w:pPr>
        <w:pStyle w:val="style0"/>
        <w:rPr/>
      </w:pPr>
    </w:p>
    <w:p>
      <w:pPr>
        <w:pStyle w:val="style0"/>
        <w:rPr/>
      </w:pPr>
      <w:r>
        <w:t>Translation:</w:t>
      </w:r>
    </w:p>
    <w:p>
      <w:pPr>
        <w:pStyle w:val="style0"/>
        <w:rPr/>
      </w:pPr>
      <w:r>
        <w:t>“Indeed, there will be no prophet after me.”</w:t>
      </w:r>
    </w:p>
    <w:p>
      <w:pPr>
        <w:pStyle w:val="style0"/>
        <w:rPr/>
      </w:pPr>
      <w:r>
        <w:t>Reference: Sahih al-Bukhari.</w:t>
      </w:r>
    </w:p>
    <w:p>
      <w:pPr>
        <w:pStyle w:val="style0"/>
        <w:rPr/>
      </w:pPr>
    </w:p>
    <w:p>
      <w:pPr>
        <w:pStyle w:val="style0"/>
        <w:rPr/>
      </w:pPr>
      <w:r>
        <w:t>Classical Commentary:</w:t>
      </w:r>
    </w:p>
    <w:p>
      <w:pPr>
        <w:pStyle w:val="style0"/>
        <w:rPr/>
      </w:pPr>
      <w:r>
        <w:t>- This hadith confirms the Qur’anic term ‘seal of the prophets’.</w:t>
      </w:r>
    </w:p>
    <w:p>
      <w:pPr>
        <w:pStyle w:val="style0"/>
        <w:rPr/>
      </w:pPr>
      <w:r>
        <w:t>- Scholars agree it blocks any claim of prophethood after Muhammad ﷺ.</w:t>
      </w:r>
    </w:p>
    <w:p>
      <w:pPr>
        <w:pStyle w:val="style0"/>
        <w:rPr/>
      </w:pPr>
    </w:p>
    <w:p>
      <w:pPr>
        <w:pStyle w:val="style2"/>
        <w:rPr/>
      </w:pPr>
      <w:r>
        <w:t>2. Belief in the Books (الإيمان بالكتب)</w:t>
      </w:r>
    </w:p>
    <w:p>
      <w:pPr>
        <w:pStyle w:val="style0"/>
        <w:rPr/>
      </w:pPr>
      <w:r>
        <w:t>Belief in the divine books means acknowledging that Allah sent scriptures to guide nations. These include the Tawrah (Torah), Zabūr (Psalms), Injīl (Gospel), and the Qur’an. The Qur’an is the final, complete, and preserved revelation.</w:t>
      </w:r>
    </w:p>
    <w:p>
      <w:pPr>
        <w:pStyle w:val="style2"/>
        <w:rPr/>
      </w:pPr>
      <w:r>
        <w:t>Qur’anic Evidence – Qur’an 4:136</w:t>
      </w:r>
    </w:p>
    <w:p>
      <w:pPr>
        <w:pStyle w:val="style0"/>
        <w:rPr/>
      </w:pPr>
      <w:r>
        <w:t>Arabic:</w:t>
      </w:r>
    </w:p>
    <w:p>
      <w:pPr>
        <w:pStyle w:val="style0"/>
        <w:rPr/>
      </w:pPr>
      <w:r>
        <w:t>«يَا أَيُّهَا الَّذِينَ آمَنُوا آمِنُوا بِاللَّهِ وَرَسُولِهِ وَالْكِتَابِ الَّذِي نَزَّلَ عَلَىٰ رَسُولِهِ وَالْكِتَابِ الَّذِي أَنزَلَ مِن قَبْلُ»</w:t>
      </w:r>
    </w:p>
    <w:p>
      <w:pPr>
        <w:pStyle w:val="style0"/>
        <w:rPr/>
      </w:pPr>
    </w:p>
    <w:p>
      <w:pPr>
        <w:pStyle w:val="style0"/>
        <w:rPr/>
      </w:pPr>
      <w:r>
        <w:t>Translation:</w:t>
      </w:r>
    </w:p>
    <w:p>
      <w:pPr>
        <w:pStyle w:val="style0"/>
        <w:rPr/>
      </w:pPr>
      <w:r>
        <w:t>“O you who believe! Believe in Allah, His Messenger, the Book He revealed to His Messenger, and the Scriptures He revealed before.”</w:t>
      </w:r>
    </w:p>
    <w:p>
      <w:pPr>
        <w:pStyle w:val="style0"/>
        <w:rPr/>
      </w:pPr>
    </w:p>
    <w:p>
      <w:pPr>
        <w:pStyle w:val="style0"/>
        <w:rPr/>
      </w:pPr>
      <w:r>
        <w:t>Tafsīr Notes (Ibn Kathīr):</w:t>
      </w:r>
    </w:p>
    <w:p>
      <w:pPr>
        <w:pStyle w:val="style0"/>
        <w:rPr/>
      </w:pPr>
      <w:r>
        <w:t>- Allah commands believers to accept both the Qur’an and earlier revelations.</w:t>
      </w:r>
    </w:p>
    <w:p>
      <w:pPr>
        <w:pStyle w:val="style0"/>
        <w:rPr/>
      </w:pPr>
      <w:r>
        <w:t>- The verse warns against partial belief (e.g., accepting some prophets but not others).</w:t>
      </w:r>
    </w:p>
    <w:p>
      <w:pPr>
        <w:pStyle w:val="style2"/>
        <w:rPr/>
      </w:pPr>
      <w:r>
        <w:t>Qur’anic Evidence – Qur’an 15:9 (Preservation of Qur’an)</w:t>
      </w:r>
    </w:p>
    <w:p>
      <w:pPr>
        <w:pStyle w:val="style0"/>
        <w:rPr/>
      </w:pPr>
      <w:r>
        <w:t>Arabic:</w:t>
      </w:r>
    </w:p>
    <w:p>
      <w:pPr>
        <w:pStyle w:val="style0"/>
        <w:rPr/>
      </w:pPr>
      <w:r>
        <w:t>«إِنَّا نَحْنُ نَزَّلْنَا الذِّكْرَ وَإِنَّا لَهُ لَحَافِظُونَ»</w:t>
      </w:r>
    </w:p>
    <w:p>
      <w:pPr>
        <w:pStyle w:val="style0"/>
        <w:rPr/>
      </w:pPr>
    </w:p>
    <w:p>
      <w:pPr>
        <w:pStyle w:val="style0"/>
        <w:rPr/>
      </w:pPr>
      <w:r>
        <w:t>Translation:</w:t>
      </w:r>
    </w:p>
    <w:p>
      <w:pPr>
        <w:pStyle w:val="style0"/>
        <w:rPr/>
      </w:pPr>
      <w:r>
        <w:t>“Indeed, We have sent down the Qur’an, and indeed, We will preserve it.”</w:t>
      </w:r>
    </w:p>
    <w:p>
      <w:pPr>
        <w:pStyle w:val="style0"/>
        <w:rPr/>
      </w:pPr>
    </w:p>
    <w:p>
      <w:pPr>
        <w:pStyle w:val="style0"/>
        <w:rPr/>
      </w:pPr>
      <w:r>
        <w:t>Tafsīr Notes (Ibn Kathīr):</w:t>
      </w:r>
    </w:p>
    <w:p>
      <w:pPr>
        <w:pStyle w:val="style0"/>
        <w:rPr/>
      </w:pPr>
      <w:r>
        <w:t>- This is a divine guarantee of the Qur’an’s preservation.</w:t>
      </w:r>
    </w:p>
    <w:p>
      <w:pPr>
        <w:pStyle w:val="style0"/>
        <w:rPr/>
      </w:pPr>
      <w:r>
        <w:t>- Unlike earlier scriptures, the Qur’an has never been altered.</w:t>
      </w:r>
    </w:p>
    <w:p>
      <w:pPr>
        <w:pStyle w:val="style0"/>
        <w:rPr/>
      </w:pPr>
      <w:r>
        <w:t>- Memorization, mass-transmission (tawātur), and written record preserve it.</w:t>
      </w:r>
    </w:p>
    <w:p>
      <w:pPr>
        <w:pStyle w:val="style0"/>
        <w:rPr/>
      </w:pPr>
      <w:r>
        <w:rPr>
          <w:lang w:val="en-US"/>
        </w:rPr>
        <w:t>Preservation, authenticity, and the Islamic understanding</w:t>
      </w:r>
    </w:p>
    <w:p>
      <w:pPr>
        <w:pStyle w:val="style0"/>
        <w:rPr/>
      </w:pPr>
    </w:p>
    <w:p>
      <w:pPr>
        <w:pStyle w:val="style0"/>
        <w:rPr/>
      </w:pPr>
      <w:r>
        <w:rPr>
          <w:lang w:val="en-US"/>
        </w:rPr>
        <w:t xml:space="preserve">Qur’anic preservation: The Qur’an itself promises preservation: “Indeed, it is We who sent down the Qur’an and indeed, We will be its guardian.” This verse (15:9) is the classical textual basis for the Muslim conviction that the Qur’an has been protected from corruption. </w:t>
      </w:r>
    </w:p>
    <w:p>
      <w:pPr>
        <w:pStyle w:val="style0"/>
        <w:rPr/>
      </w:pPr>
    </w:p>
    <w:p>
      <w:pPr>
        <w:pStyle w:val="style0"/>
        <w:rPr/>
      </w:pPr>
      <w:r>
        <w:rPr>
          <w:lang w:val="en-US"/>
        </w:rPr>
        <w:t xml:space="preserve">Earlier scriptures: The Qur’an affirms that earlier scriptures were revelations from God, but it also says that human alteration, misunderstanding, or selective transmission occurred in some communities (e.g., Qur’an 2:79 speaks about some writing its own text and claiming it as from God). Because of this, mainstream Islamic doctrine holds that the original divine revelations to earlier prophets were true, but the present forms of some previous scriptures are not accepted by Muslims as fully preserved in their original revealed form. </w:t>
      </w:r>
    </w:p>
    <w:p>
      <w:pPr>
        <w:pStyle w:val="style0"/>
        <w:rPr/>
      </w:pPr>
    </w:p>
    <w:p>
      <w:pPr>
        <w:pStyle w:val="style0"/>
        <w:rPr/>
      </w:pPr>
    </w:p>
    <w:p>
      <w:pPr>
        <w:pStyle w:val="style0"/>
        <w:rPr/>
      </w:pPr>
      <w:r>
        <w:rPr>
          <w:lang w:val="en-US"/>
        </w:rPr>
        <w:t xml:space="preserve">Implication: Muslims accept the original divine origins of previous books (as a matter of faith) but hold that the Qur’an is the final, preserved criterion (al-furqān) and the supreme guidance for humankind. See Qur’an 5:48 where the Qur’an is presented as a criterion over earlier scriptures (see tafsirs for nuance). </w:t>
      </w:r>
    </w:p>
    <w:p>
      <w:pPr>
        <w:pStyle w:val="style0"/>
        <w:rPr/>
      </w:pPr>
    </w:p>
    <w:p>
      <w:pPr>
        <w:pStyle w:val="style0"/>
        <w:rPr/>
      </w:pPr>
    </w:p>
    <w:p>
      <w:pPr>
        <w:pStyle w:val="style2"/>
        <w:rPr/>
      </w:pPr>
      <w:r>
        <w:t>3. Connection Between Prophets and Books</w:t>
      </w:r>
    </w:p>
    <w:p>
      <w:pPr>
        <w:pStyle w:val="style0"/>
        <w:rPr/>
      </w:pPr>
      <w:r>
        <w:t>Prophets deliver revelation; books preserve revelation. Rejecting a prophet means rejecting the book, and rejecting the book means rejecting the prophet.</w:t>
      </w:r>
    </w:p>
    <w:p>
      <w:pPr>
        <w:pStyle w:val="style0"/>
        <w:rPr/>
      </w:pPr>
    </w:p>
    <w:p>
      <w:pPr>
        <w:pStyle w:val="style0"/>
        <w:rPr/>
      </w:pPr>
      <w:r>
        <w:t>Key Points:</w:t>
      </w:r>
    </w:p>
    <w:p>
      <w:pPr>
        <w:pStyle w:val="style0"/>
        <w:rPr/>
      </w:pPr>
      <w:r>
        <w:t>- All prophets taught the same foundational message: Tawḥīd.</w:t>
      </w:r>
    </w:p>
    <w:p>
      <w:pPr>
        <w:pStyle w:val="style0"/>
        <w:rPr/>
      </w:pPr>
      <w:r>
        <w:t>- Scriptures differed in details but aligned in purpose.</w:t>
      </w:r>
    </w:p>
    <w:p>
      <w:pPr>
        <w:pStyle w:val="style0"/>
        <w:rPr/>
      </w:pPr>
      <w:r>
        <w:t>- The final authority for Muslims is the Qur’an.</w:t>
      </w:r>
    </w:p>
    <w:p>
      <w:pPr>
        <w:pStyle w:val="style2"/>
        <w:rPr/>
      </w:pPr>
      <w:r>
        <w:t>Conclusion</w:t>
      </w:r>
    </w:p>
    <w:p>
      <w:pPr>
        <w:pStyle w:val="style0"/>
        <w:rPr/>
      </w:pPr>
      <w:r>
        <w:t>Belief in prophets and revealed books forms the backbone of Islamic faith. The Qur’an and Sunnah emphasize universal acceptance of all prophets, the finality of Prophet Muhammad ﷺ, and the preservation of the Qur’an as the ultimate divine guidance for humanity.</w:t>
      </w:r>
    </w:p>
    <w:p>
      <w:pPr>
        <w:pStyle w:val="style0"/>
        <w:rPr/>
      </w:pPr>
      <w:r>
        <w:rPr>
          <w:lang w:val="en-US"/>
        </w:rPr>
        <w:t>Theological &amp; legal consequences (brief, but important)</w:t>
      </w:r>
    </w:p>
    <w:p>
      <w:pPr>
        <w:pStyle w:val="style0"/>
        <w:rPr/>
      </w:pPr>
    </w:p>
    <w:p>
      <w:pPr>
        <w:pStyle w:val="style0"/>
        <w:rPr/>
      </w:pPr>
      <w:r>
        <w:rPr>
          <w:lang w:val="en-US"/>
        </w:rPr>
        <w:t xml:space="preserve">1. No new scripture or prophet after Muḥammad ﷺ in mainstream Sunni and Shia doctrine—authority after him is exercised through interpretation (ijtihād), scholarship, and community leadership. </w:t>
      </w:r>
    </w:p>
    <w:p>
      <w:pPr>
        <w:pStyle w:val="style0"/>
        <w:rPr/>
      </w:pPr>
    </w:p>
    <w:p>
      <w:pPr>
        <w:pStyle w:val="style0"/>
        <w:rPr/>
      </w:pPr>
    </w:p>
    <w:p>
      <w:pPr>
        <w:pStyle w:val="style0"/>
        <w:rPr/>
      </w:pPr>
      <w:r>
        <w:rPr>
          <w:lang w:val="en-US"/>
        </w:rPr>
        <w:t xml:space="preserve">2. Scriptural criterion: When texts conflict, Muslims use the Qur’an as final law and the Sunnah as the explanatory practice; earlier scriptures are respected insofar as they do not contradict the Qur’an. </w:t>
      </w:r>
    </w:p>
    <w:p>
      <w:pPr>
        <w:pStyle w:val="style0"/>
        <w:rPr/>
      </w:pPr>
    </w:p>
    <w:p>
      <w:pPr>
        <w:pStyle w:val="style0"/>
        <w:rPr/>
      </w:pPr>
    </w:p>
    <w:p>
      <w:pPr>
        <w:pStyle w:val="style0"/>
        <w:rPr/>
      </w:pPr>
      <w:r>
        <w:rPr>
          <w:lang w:val="en-US"/>
        </w:rPr>
        <w:t xml:space="preserve">3. Ethical model: Prophets are moral exemplars; believing their message implies striving to follow prophetic character and commands. </w:t>
      </w:r>
    </w:p>
    <w:p>
      <w:pPr>
        <w:pStyle w:val="style0"/>
        <w:rPr/>
      </w:pPr>
    </w:p>
    <w:p>
      <w:pPr>
        <w:pStyle w:val="style0"/>
        <w:rPr/>
      </w:pPr>
    </w:p>
    <w:p>
      <w:pPr>
        <w:pStyle w:val="style0"/>
        <w:rPr/>
      </w:pPr>
    </w:p>
    <w:p>
      <w:pPr>
        <w:pStyle w:val="style0"/>
        <w:rPr/>
      </w:pPr>
      <w:r>
        <w:rPr>
          <w:lang w:val="en-US"/>
        </w:rPr>
        <w:t>.....</w:t>
      </w:r>
    </w:p>
    <w:p>
      <w:pPr>
        <w:pStyle w:val="style0"/>
        <w:rPr/>
      </w:pPr>
    </w:p>
    <w:p>
      <w:pPr>
        <w:pStyle w:val="style0"/>
        <w:rPr/>
      </w:pPr>
      <w:r>
        <w:rPr>
          <w:lang w:val="en-US"/>
        </w:rPr>
        <w:t>For deeper study (suggested classical &amp; modern sources)</w:t>
      </w:r>
    </w:p>
    <w:p>
      <w:pPr>
        <w:pStyle w:val="style0"/>
        <w:rPr/>
      </w:pPr>
    </w:p>
    <w:p>
      <w:pPr>
        <w:pStyle w:val="style0"/>
        <w:rPr/>
      </w:pPr>
      <w:r>
        <w:rPr>
          <w:lang w:val="en-US"/>
        </w:rPr>
        <w:t>Tafsīr al-Tabarī, Tafsīr Ibn Kathīr, and Tafsīr al-Qurtubī — classical Qur’anic exegesis on these verses.</w:t>
      </w:r>
    </w:p>
    <w:p>
      <w:pPr>
        <w:pStyle w:val="style0"/>
        <w:rPr/>
      </w:pPr>
    </w:p>
    <w:p>
      <w:pPr>
        <w:pStyle w:val="style0"/>
        <w:rPr/>
      </w:pPr>
      <w:r>
        <w:rPr>
          <w:lang w:val="en-US"/>
        </w:rPr>
        <w:t xml:space="preserve">Sahīh al-Bukhārī and Sahīh Muslim — for ḥadīth about prophetic finality and obedience. </w:t>
      </w:r>
    </w:p>
    <w:p>
      <w:pPr>
        <w:pStyle w:val="style0"/>
        <w:rPr/>
      </w:pPr>
      <w:r>
        <w:rPr>
          <w:lang w:val="en-US"/>
        </w:rPr>
        <w:t>Modern academic works on “revelation and textual preservation” for historical-critical perspectives (if you want academic comparative study rather than classical theology, I can fetch specific papers).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f200bbe-86bd-48a1-8649-0fe58908185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c222b35-a600-4a7e-8ec5-5ba9c8c5cef8"/>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78da484-44d1-4a86-bf73-ad72c075dac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2c52518-a5c2-4cc7-973a-46d6e1c8318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d6bb2cf-91bb-484e-80b2-b0e13ec949e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f1211b8-1d6f-45b9-bd0b-f9e8e42b951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569d42d-0a7c-49a6-8717-7b20017cff32"/>
    <w:basedOn w:val="style65"/>
    <w:next w:val="style4108"/>
    <w:link w:val="style180"/>
    <w:uiPriority w:val="29"/>
    <w:rPr>
      <w:i/>
      <w:iCs/>
      <w:color w:val="000000"/>
    </w:rPr>
  </w:style>
  <w:style w:type="character" w:customStyle="1" w:styleId="style4109">
    <w:name w:val="Heading 4 Char_1ef75636-1b02-419b-8640-a6d9f4131fa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46da28b-970f-44ac-838b-bb0660d4becd"/>
    <w:basedOn w:val="style65"/>
    <w:next w:val="style4110"/>
    <w:link w:val="style5"/>
    <w:uiPriority w:val="9"/>
    <w:rPr>
      <w:rFonts w:ascii="Calibri" w:cs="宋体" w:eastAsia="ＭＳ ゴシック" w:hAnsi="Calibri"/>
      <w:color w:val="243f60"/>
    </w:rPr>
  </w:style>
  <w:style w:type="character" w:customStyle="1" w:styleId="style4111">
    <w:name w:val="Heading 6 Char_b4e0eafb-04d5-43a6-98c1-0df33c1a38b6"/>
    <w:basedOn w:val="style65"/>
    <w:next w:val="style4111"/>
    <w:link w:val="style6"/>
    <w:uiPriority w:val="9"/>
    <w:rPr>
      <w:rFonts w:ascii="Calibri" w:cs="宋体" w:eastAsia="ＭＳ ゴシック" w:hAnsi="Calibri"/>
      <w:i/>
      <w:iCs/>
      <w:color w:val="243f60"/>
    </w:rPr>
  </w:style>
  <w:style w:type="character" w:customStyle="1" w:styleId="style4112">
    <w:name w:val="Heading 7 Char_32003dfe-cd03-4d1d-9680-fce2cdd0a826"/>
    <w:basedOn w:val="style65"/>
    <w:next w:val="style4112"/>
    <w:link w:val="style7"/>
    <w:uiPriority w:val="9"/>
    <w:rPr>
      <w:rFonts w:ascii="Calibri" w:cs="宋体" w:eastAsia="ＭＳ ゴシック" w:hAnsi="Calibri"/>
      <w:i/>
      <w:iCs/>
      <w:color w:val="404040"/>
    </w:rPr>
  </w:style>
  <w:style w:type="character" w:customStyle="1" w:styleId="style4113">
    <w:name w:val="Heading 8 Char_b49f3cd8-0837-47fa-b709-6da5ce9565a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1c4925a-d4a4-4d12-8f1a-57bdc56f44d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c8aebb6-f90e-4557-903d-c758a20dc93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952</Words>
  <Pages>1</Pages>
  <Characters>5483</Characters>
  <Application>WPS Office</Application>
  <DocSecurity>0</DocSecurity>
  <Paragraphs>101</Paragraphs>
  <ScaleCrop>false</ScaleCrop>
  <LinksUpToDate>false</LinksUpToDate>
  <CharactersWithSpaces>6375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SM-M025F</lastModifiedBy>
  <dcterms:modified xsi:type="dcterms:W3CDTF">2025-11-23T04:27:55Z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ad01c840d9a64770ae462abb3d658c57</vt:lpwstr>
  </property>
</Properties>
</file>