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C6247" w:rsidRPr="00BC6247" w:rsidRDefault="00BC6247" w:rsidP="00BC6247">
      <w:pPr>
        <w:jc w:val="center"/>
        <w:rPr>
          <w:b/>
        </w:rPr>
      </w:pPr>
      <w:proofErr w:type="spellStart"/>
      <w:r w:rsidRPr="00BC6247">
        <w:rPr>
          <w:rFonts w:ascii="Nyala" w:hAnsi="Nyala" w:cs="Nyala"/>
          <w:b/>
        </w:rPr>
        <w:t>ሥላሴ</w:t>
      </w:r>
      <w:proofErr w:type="spellEnd"/>
      <w:r w:rsidRPr="00BC6247">
        <w:rPr>
          <w:b/>
        </w:rPr>
        <w:t xml:space="preserve"> </w:t>
      </w:r>
      <w:proofErr w:type="spellStart"/>
      <w:r w:rsidRPr="00BC6247">
        <w:rPr>
          <w:rFonts w:ascii="Nyala" w:hAnsi="Nyala" w:cs="Nyala"/>
          <w:b/>
        </w:rPr>
        <w:t>ሚለው</w:t>
      </w:r>
      <w:proofErr w:type="spellEnd"/>
      <w:r w:rsidRPr="00BC6247">
        <w:rPr>
          <w:b/>
        </w:rPr>
        <w:t xml:space="preserve"> </w:t>
      </w:r>
      <w:proofErr w:type="spellStart"/>
      <w:r w:rsidRPr="00BC6247">
        <w:rPr>
          <w:rFonts w:ascii="Nyala" w:hAnsi="Nyala" w:cs="Nyala"/>
          <w:b/>
        </w:rPr>
        <w:t>ቃል</w:t>
      </w:r>
      <w:proofErr w:type="spellEnd"/>
      <w:r w:rsidRPr="00BC6247">
        <w:rPr>
          <w:b/>
        </w:rPr>
        <w:t xml:space="preserve"> </w:t>
      </w:r>
      <w:proofErr w:type="spellStart"/>
      <w:r w:rsidRPr="00BC6247">
        <w:rPr>
          <w:rFonts w:ascii="Nyala" w:hAnsi="Nyala" w:cs="Nyala"/>
          <w:b/>
        </w:rPr>
        <w:t>መፅሐፍ</w:t>
      </w:r>
      <w:proofErr w:type="spellEnd"/>
      <w:r w:rsidRPr="00BC6247">
        <w:rPr>
          <w:b/>
        </w:rPr>
        <w:t xml:space="preserve"> </w:t>
      </w:r>
      <w:proofErr w:type="spellStart"/>
      <w:r w:rsidRPr="00BC6247">
        <w:rPr>
          <w:rFonts w:ascii="Nyala" w:hAnsi="Nyala" w:cs="Nyala"/>
          <w:b/>
        </w:rPr>
        <w:t>ቅዱስ</w:t>
      </w:r>
      <w:proofErr w:type="spellEnd"/>
      <w:r w:rsidRPr="00BC6247">
        <w:rPr>
          <w:b/>
        </w:rPr>
        <w:t xml:space="preserve"> </w:t>
      </w:r>
      <w:proofErr w:type="spellStart"/>
      <w:r w:rsidRPr="00BC6247">
        <w:rPr>
          <w:rFonts w:ascii="Nyala" w:hAnsi="Nyala" w:cs="Nyala"/>
          <w:b/>
        </w:rPr>
        <w:t>ላይ</w:t>
      </w:r>
      <w:proofErr w:type="spellEnd"/>
      <w:r w:rsidRPr="00BC6247">
        <w:rPr>
          <w:b/>
        </w:rPr>
        <w:t xml:space="preserve"> </w:t>
      </w:r>
      <w:proofErr w:type="spellStart"/>
      <w:r w:rsidRPr="00BC6247">
        <w:rPr>
          <w:rFonts w:ascii="Nyala" w:hAnsi="Nyala" w:cs="Nyala"/>
          <w:b/>
        </w:rPr>
        <w:t>አለ</w:t>
      </w:r>
      <w:proofErr w:type="spellEnd"/>
      <w:r w:rsidRPr="00BC6247">
        <w:rPr>
          <w:b/>
        </w:rPr>
        <w:t xml:space="preserve"> </w:t>
      </w:r>
      <w:proofErr w:type="spellStart"/>
      <w:r w:rsidRPr="00BC6247">
        <w:rPr>
          <w:rFonts w:ascii="Nyala" w:hAnsi="Nyala" w:cs="Nyala"/>
          <w:b/>
        </w:rPr>
        <w:t>ወይ</w:t>
      </w:r>
      <w:proofErr w:type="spellEnd"/>
      <w:r w:rsidRPr="00BC6247">
        <w:rPr>
          <w:b/>
        </w:rPr>
        <w:t>?</w:t>
      </w:r>
    </w:p>
    <w:p w:rsidR="00BC6247" w:rsidRDefault="00BC6247">
      <w:r>
        <w:t xml:space="preserve">Although the word Trinity (derived from the Latin word </w:t>
      </w:r>
      <w:proofErr w:type="spellStart"/>
      <w:r>
        <w:t>trinitas</w:t>
      </w:r>
      <w:proofErr w:type="spellEnd"/>
      <w:r>
        <w:t>, meaning “</w:t>
      </w:r>
      <w:proofErr w:type="spellStart"/>
      <w:r>
        <w:t>threeness</w:t>
      </w:r>
      <w:proofErr w:type="spellEnd"/>
      <w:r>
        <w:t xml:space="preserve">”) is not found in the Bible, the concept that God is one essence (i.e. on regards to the fundamental substance that makes God “God”) and nature (i.e. the inherent qualities and powers that flow from that reality; hence focusing on the properties and operations of that essence) but three persons is a mystery woven throughout Scripture. </w:t>
      </w:r>
    </w:p>
    <w:p w:rsidR="00BC6247" w:rsidRDefault="00BC6247">
      <w:r>
        <w:t xml:space="preserve">A teaching is not any less true simply because an extra-biblical word is used to define – what is clearly a biblical teaching just like the word “Incarnation”. Early Christians identified the Son as Creator (John 1:1-3) as well as YHWH or the “I AM” of the Old Testament (Exodus 3:14; John 8:58). </w:t>
      </w:r>
    </w:p>
    <w:p w:rsidR="00BC6247" w:rsidRDefault="00BC6247">
      <w:r>
        <w:t>They accepted Jesus as equal to the Father and Judge of all the earth, who should be worshipped as God. (John 5:22-23; Matthew 28:9; John 20:28; Hebrews 1:6) They also knew the Holy Spirit was a separate Person who could be grieved or blasphemed (Matthew 12:32; Acts 5:3-5). Furthermore, we clearly see three distinct persons at the baptism of Jesus. “And Jesus, when he was baptized, went up straightway out of the water: and, lo, the heavens were opened unto him, and he saw the Spirit of God descending like a dove, and lighting upon him: And lo a voice from heaven saying, This is my beloved Son, in whom I am well pleased” (Matthew 3:16, 17).</w:t>
      </w:r>
    </w:p>
    <w:p w:rsidR="00BC6247" w:rsidRDefault="00BC6247">
      <w:r>
        <w:t xml:space="preserve"> And on top of this, it is through the authority of the triune God that we are commissioned to baptize. “Go ye therefore, and teach all nations, baptizing them in the name of the Father, and of the Son and of the Holy Ghost” (Matthew28:19) </w:t>
      </w:r>
      <w:proofErr w:type="gramStart"/>
      <w:r>
        <w:t>In</w:t>
      </w:r>
      <w:proofErr w:type="gramEnd"/>
      <w:r>
        <w:t xml:space="preserve"> many cultures—such as in Korea and China—a family name carries collective honor and responsibility. The actions of one individual do not stand alone; they affect how the entire family name is perceived. A single act can either dignify or disgrace the name that person bears. A similar principle is illustrated in the well-known account involving Alexander the Great. During one of his intense military campaigns, a soldier in Alexander’s army was overcome with fear and fled his post, abandoning his fellow comrades. </w:t>
      </w:r>
    </w:p>
    <w:p w:rsidR="00BC6247" w:rsidRDefault="00BC6247">
      <w:r>
        <w:t xml:space="preserve">The soldier was apprehended and brought to the tent of Alexander to face judgment. The offender stood before the king in shame, expecting immediate execution, as such cowardice was a severe offense punishable by death. Alexander, known for leading from the front and expecting extreme bravery from his troops, questioned the man: “What is your name?” The soldier replied trembling: “Alexander, sir.” Alexander the Great deeply insulted and enraged that someone sharing his name would act so contrary to its reputation; Alexander delivered a famous ultimatum: “Either you change your name, or you change your conduct.” </w:t>
      </w:r>
    </w:p>
    <w:p w:rsidR="00BC6247" w:rsidRDefault="00BC6247">
      <w:r>
        <w:t xml:space="preserve">The soldier was ultimately granted a second chance; but we learn from it that bearing a name requires living in a way that honors it. This same concept appears profoundly in Matthew 28:19, where Jesus commands baptism “in the name of the Father, and of the Son, and of the Holy Spirit.” Even though three distinct persons are mentioned, Scripture speaks of one name, not “names” – signifying they have the same character attributes. </w:t>
      </w:r>
    </w:p>
    <w:p w:rsidR="00E4285C" w:rsidRDefault="00BC6247">
      <w:bookmarkStart w:id="0" w:name="_GoBack"/>
      <w:bookmarkEnd w:id="0"/>
      <w:r>
        <w:t xml:space="preserve">This reflects the unity of the Triune God – three persons sharing one divine name and the same divine character, unlike pagan deities who bear different names and represent different attributes. And it is through the authority of the triune God that we are commissioned to baptize. To be baptized in the name of God the Father, the Son, and the Holy Spirit, signifies a transformed identity. We die to </w:t>
      </w:r>
      <w:r>
        <w:lastRenderedPageBreak/>
        <w:t>ourselves, and Christ lives in us. The name of God is called upon us, meaning we now bear His name and represent His character in the world. However bearing God’s name carries responsibility: our conduct must align with the name we now bear.</w:t>
      </w:r>
    </w:p>
    <w:sectPr w:rsidR="00E428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Nyala">
    <w:panose1 w:val="02000504070300020003"/>
    <w:charset w:val="00"/>
    <w:family w:val="auto"/>
    <w:pitch w:val="variable"/>
    <w:sig w:usb0="A000006F" w:usb1="00000000" w:usb2="00000800" w:usb3="00000000" w:csb0="00000093"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6247"/>
    <w:rsid w:val="00BC6247"/>
    <w:rsid w:val="00E428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37D7903-975F-4703-AD8A-81E5316B27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575</Words>
  <Characters>3281</Characters>
  <Application>Microsoft Office Word</Application>
  <DocSecurity>0</DocSecurity>
  <Lines>27</Lines>
  <Paragraphs>7</Paragraphs>
  <ScaleCrop>false</ScaleCrop>
  <Company/>
  <LinksUpToDate>false</LinksUpToDate>
  <CharactersWithSpaces>3849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2026-02-17T07:47:00Z</dcterms:created>
  <dcterms:modified xsi:type="dcterms:W3CDTF">2026-02-17T07:49:00Z</dcterms:modified>
</cp:coreProperties>
</file>